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94119" w14:textId="57851B25" w:rsidR="00394451" w:rsidRPr="00CE0424" w:rsidRDefault="00394451" w:rsidP="00394451">
      <w:pPr>
        <w:pStyle w:val="3GPPHeader"/>
        <w:spacing w:after="60"/>
        <w:rPr>
          <w:sz w:val="32"/>
          <w:szCs w:val="32"/>
          <w:highlight w:val="yellow"/>
        </w:rPr>
      </w:pPr>
      <w:bookmarkStart w:id="0" w:name="_GoBack"/>
      <w:bookmarkEnd w:id="0"/>
      <w:r w:rsidRPr="00CE0424">
        <w:t>3GPP TSG-RAN WG</w:t>
      </w:r>
      <w:r>
        <w:t>1</w:t>
      </w:r>
      <w:r w:rsidRPr="00CE0424">
        <w:t xml:space="preserve"> </w:t>
      </w:r>
      <w:r>
        <w:t xml:space="preserve">Meeting </w:t>
      </w:r>
      <w:r w:rsidRPr="00CE0424">
        <w:t>#</w:t>
      </w:r>
      <w:r>
        <w:t>104-e</w:t>
      </w:r>
      <w:r w:rsidRPr="00CE0424">
        <w:tab/>
      </w:r>
      <w:proofErr w:type="spellStart"/>
      <w:r w:rsidRPr="00CE0424">
        <w:rPr>
          <w:sz w:val="32"/>
          <w:szCs w:val="32"/>
        </w:rPr>
        <w:t>Tdoc</w:t>
      </w:r>
      <w:proofErr w:type="spellEnd"/>
      <w:r w:rsidRPr="00CE0424">
        <w:rPr>
          <w:sz w:val="32"/>
          <w:szCs w:val="32"/>
        </w:rPr>
        <w:t xml:space="preserve"> R</w:t>
      </w:r>
      <w:r>
        <w:rPr>
          <w:sz w:val="32"/>
          <w:szCs w:val="32"/>
        </w:rPr>
        <w:t>1</w:t>
      </w:r>
      <w:r w:rsidRPr="00CE0424">
        <w:rPr>
          <w:sz w:val="32"/>
          <w:szCs w:val="32"/>
        </w:rPr>
        <w:t>-</w:t>
      </w:r>
      <w:r w:rsidR="00C41330" w:rsidRPr="00C41330">
        <w:rPr>
          <w:sz w:val="32"/>
          <w:szCs w:val="32"/>
        </w:rPr>
        <w:t>210130</w:t>
      </w:r>
      <w:r w:rsidR="005200B7">
        <w:rPr>
          <w:sz w:val="32"/>
          <w:szCs w:val="32"/>
        </w:rPr>
        <w:t>7</w:t>
      </w:r>
    </w:p>
    <w:p w14:paraId="3AB332DA" w14:textId="77777777" w:rsidR="00394451" w:rsidRPr="00CE0424" w:rsidRDefault="00394451" w:rsidP="00394451">
      <w:pPr>
        <w:pStyle w:val="3GPPHeader"/>
      </w:pPr>
      <w:r>
        <w:t>Online, 25</w:t>
      </w:r>
      <w:r w:rsidRPr="0083546B">
        <w:rPr>
          <w:vertAlign w:val="superscript"/>
        </w:rPr>
        <w:t>th</w:t>
      </w:r>
      <w:r>
        <w:t xml:space="preserve"> January – 5</w:t>
      </w:r>
      <w:r w:rsidRPr="0083546B">
        <w:rPr>
          <w:vertAlign w:val="superscript"/>
        </w:rPr>
        <w:t>th</w:t>
      </w:r>
      <w:r>
        <w:t xml:space="preserve"> February 2021</w:t>
      </w:r>
    </w:p>
    <w:p w14:paraId="07B295B6" w14:textId="77777777" w:rsidR="00394451" w:rsidRPr="00CE0424" w:rsidRDefault="00394451" w:rsidP="00394451">
      <w:pPr>
        <w:pStyle w:val="3GPPHeader"/>
      </w:pPr>
    </w:p>
    <w:p w14:paraId="692629A7" w14:textId="2C95F258" w:rsidR="00394451" w:rsidRPr="00FB1644" w:rsidRDefault="00394451" w:rsidP="00394451">
      <w:pPr>
        <w:pStyle w:val="3GPPHeader"/>
        <w:rPr>
          <w:sz w:val="22"/>
        </w:rPr>
      </w:pPr>
      <w:r w:rsidRPr="00FB1644">
        <w:rPr>
          <w:sz w:val="22"/>
        </w:rPr>
        <w:t>Agenda Item:</w:t>
      </w:r>
      <w:r w:rsidRPr="00FB1644">
        <w:rPr>
          <w:sz w:val="22"/>
        </w:rPr>
        <w:tab/>
        <w:t>8.2.2</w:t>
      </w:r>
    </w:p>
    <w:p w14:paraId="7818D0E5" w14:textId="77777777" w:rsidR="00394451" w:rsidRPr="00CE0424" w:rsidRDefault="00394451" w:rsidP="00394451">
      <w:pPr>
        <w:pStyle w:val="3GPPHeader"/>
        <w:rPr>
          <w:sz w:val="22"/>
        </w:rPr>
      </w:pPr>
      <w:r>
        <w:rPr>
          <w:sz w:val="22"/>
        </w:rPr>
        <w:t>Source:</w:t>
      </w:r>
      <w:r w:rsidRPr="00CE0424">
        <w:rPr>
          <w:sz w:val="22"/>
        </w:rPr>
        <w:tab/>
        <w:t>Ericsson</w:t>
      </w:r>
    </w:p>
    <w:p w14:paraId="6B12CA3D" w14:textId="753BC0BF" w:rsidR="00394451" w:rsidRPr="00CE0424" w:rsidRDefault="00394451" w:rsidP="00394451">
      <w:pPr>
        <w:pStyle w:val="3GPPHeader"/>
        <w:rPr>
          <w:sz w:val="22"/>
        </w:rPr>
      </w:pPr>
      <w:r>
        <w:rPr>
          <w:sz w:val="22"/>
        </w:rPr>
        <w:t>Title:</w:t>
      </w:r>
      <w:r w:rsidRPr="00CE0424">
        <w:rPr>
          <w:sz w:val="22"/>
        </w:rPr>
        <w:tab/>
      </w:r>
      <w:r w:rsidRPr="00394451">
        <w:rPr>
          <w:sz w:val="22"/>
        </w:rPr>
        <w:t>PDCCH monitoring enhancements</w:t>
      </w:r>
    </w:p>
    <w:p w14:paraId="4AE57979" w14:textId="77777777" w:rsidR="00394451" w:rsidRPr="00CE0424" w:rsidRDefault="00394451" w:rsidP="00394451">
      <w:pPr>
        <w:pStyle w:val="3GPPHeader"/>
        <w:rPr>
          <w:sz w:val="22"/>
        </w:rPr>
      </w:pPr>
      <w:r w:rsidRPr="00CE0424">
        <w:rPr>
          <w:sz w:val="22"/>
        </w:rPr>
        <w:t>Document for:</w:t>
      </w:r>
      <w:r w:rsidRPr="00CE0424">
        <w:rPr>
          <w:sz w:val="22"/>
        </w:rPr>
        <w:tab/>
      </w:r>
      <w:r w:rsidRPr="000237A3">
        <w:rPr>
          <w:sz w:val="22"/>
        </w:rPr>
        <w:t>Discussion, Decision</w:t>
      </w:r>
    </w:p>
    <w:p w14:paraId="11546F93" w14:textId="77777777" w:rsidR="00394451" w:rsidRPr="00CE0424" w:rsidRDefault="00394451" w:rsidP="00394451">
      <w:pPr>
        <w:pStyle w:val="Heading1"/>
      </w:pPr>
      <w:r>
        <w:t>1</w:t>
      </w:r>
      <w:r>
        <w:tab/>
      </w:r>
      <w:r w:rsidRPr="00CE0424">
        <w:t>Introduction</w:t>
      </w:r>
    </w:p>
    <w:p w14:paraId="5881A0CB" w14:textId="491BBBF2" w:rsidR="00B621C4" w:rsidRDefault="00332C63" w:rsidP="00394451">
      <w:pPr>
        <w:pStyle w:val="BodyText"/>
      </w:pPr>
      <w:r w:rsidRPr="00332C63">
        <w:t>A</w:t>
      </w:r>
      <w:r w:rsidR="004D0756">
        <w:t xml:space="preserve"> revised</w:t>
      </w:r>
      <w:r w:rsidRPr="00332C63">
        <w:t xml:space="preserve"> WI</w:t>
      </w:r>
      <w:r>
        <w:t>D</w:t>
      </w:r>
      <w:r w:rsidRPr="00332C63">
        <w:t xml:space="preserve"> </w:t>
      </w:r>
      <w:r w:rsidR="00622BE3">
        <w:fldChar w:fldCharType="begin"/>
      </w:r>
      <w:r w:rsidR="00622BE3">
        <w:instrText xml:space="preserve"> REF _Ref61437387 \r \h </w:instrText>
      </w:r>
      <w:r w:rsidR="00622BE3">
        <w:fldChar w:fldCharType="separate"/>
      </w:r>
      <w:r w:rsidR="00B127A3">
        <w:t>[1]</w:t>
      </w:r>
      <w:r w:rsidR="00622BE3">
        <w:fldChar w:fldCharType="end"/>
      </w:r>
      <w:r w:rsidR="004D0756">
        <w:t xml:space="preserve"> </w:t>
      </w:r>
      <w:r w:rsidRPr="00332C63">
        <w:t>w</w:t>
      </w:r>
      <w:r w:rsidR="001B7F5D">
        <w:t>as</w:t>
      </w:r>
      <w:r w:rsidRPr="00332C63">
        <w:t xml:space="preserve"> approved in RAN #</w:t>
      </w:r>
      <w:r w:rsidR="007868F6">
        <w:t>90</w:t>
      </w:r>
      <w:r w:rsidRPr="00332C63">
        <w:t xml:space="preserve"> to </w:t>
      </w:r>
      <w:r w:rsidR="004A7CDE" w:rsidRPr="004A7CDE">
        <w:t>extends NR operation up to 71GHz considering, both, licensed and unlicensed operation</w:t>
      </w:r>
      <w:r w:rsidRPr="00332C63">
        <w:t>. This study item will include the following objectives</w:t>
      </w:r>
      <w:r w:rsidR="006F3A1C">
        <w:t xml:space="preserve"> related to </w:t>
      </w:r>
      <w:r w:rsidR="00E45060">
        <w:t xml:space="preserve">downlink </w:t>
      </w:r>
      <w:r w:rsidR="006F3A1C">
        <w:t>control channels</w:t>
      </w:r>
      <w:r w:rsidRPr="00332C63">
        <w:t>:</w:t>
      </w:r>
    </w:p>
    <w:p w14:paraId="4D51C9BE" w14:textId="77777777" w:rsidR="006F3A1C" w:rsidRPr="006F3A1C" w:rsidRDefault="006F3A1C" w:rsidP="006F3A1C">
      <w:pPr>
        <w:pStyle w:val="BodyText"/>
        <w:numPr>
          <w:ilvl w:val="0"/>
          <w:numId w:val="23"/>
        </w:numPr>
        <w:rPr>
          <w:lang w:val="en-GB"/>
        </w:rPr>
      </w:pPr>
      <w:r w:rsidRPr="006F3A1C">
        <w:rPr>
          <w:rFonts w:hint="eastAsia"/>
          <w:lang w:val="en-GB"/>
        </w:rPr>
        <w:t>Physical layer aspects</w:t>
      </w:r>
      <w:r w:rsidRPr="006F3A1C">
        <w:rPr>
          <w:lang w:val="en-GB"/>
        </w:rPr>
        <w:t xml:space="preserve"> including [RAN1]</w:t>
      </w:r>
      <w:r w:rsidRPr="006F3A1C">
        <w:rPr>
          <w:rFonts w:hint="eastAsia"/>
          <w:lang w:val="en-GB"/>
        </w:rPr>
        <w:t>:</w:t>
      </w:r>
    </w:p>
    <w:p w14:paraId="55B54F65" w14:textId="77777777" w:rsidR="006F3A1C" w:rsidRPr="006F3A1C" w:rsidRDefault="006F3A1C" w:rsidP="006F3A1C">
      <w:pPr>
        <w:pStyle w:val="BodyText"/>
        <w:numPr>
          <w:ilvl w:val="1"/>
          <w:numId w:val="23"/>
        </w:numPr>
        <w:rPr>
          <w:lang w:val="en-GB"/>
        </w:rPr>
      </w:pPr>
      <w:bookmarkStart w:id="1" w:name="_Hlk58583563"/>
      <w:bookmarkStart w:id="2" w:name="_Hlk26996217"/>
      <w:r w:rsidRPr="006F3A1C">
        <w:rPr>
          <w:lang w:val="en-GB"/>
        </w:rPr>
        <w:t>In addition to 120kHz SCS, specify new SCS, 480kHz and 960kHz, and define maximum bandwidth(s), for operation in this frequency range for data and control channels and reference signals, only NCP supported</w:t>
      </w:r>
      <w:bookmarkEnd w:id="1"/>
      <w:r w:rsidRPr="006F3A1C">
        <w:rPr>
          <w:lang w:val="en-GB"/>
        </w:rPr>
        <w:t xml:space="preserve">. </w:t>
      </w:r>
    </w:p>
    <w:p w14:paraId="27B3B993" w14:textId="77777777" w:rsidR="006F3A1C" w:rsidRPr="006F3A1C" w:rsidRDefault="006F3A1C" w:rsidP="006F3A1C">
      <w:pPr>
        <w:pStyle w:val="BodyText"/>
        <w:ind w:left="1440"/>
        <w:rPr>
          <w:lang w:val="en-GB"/>
        </w:rPr>
      </w:pPr>
      <w:bookmarkStart w:id="3" w:name="_Hlk58594267"/>
      <w:r w:rsidRPr="006F3A1C">
        <w:rPr>
          <w:lang w:val="en-GB"/>
        </w:rPr>
        <w:t>Note: Except for timing line related aspects, a common design framework shall be adopted for 480kHz to 960kHz</w:t>
      </w:r>
    </w:p>
    <w:bookmarkEnd w:id="3"/>
    <w:bookmarkEnd w:id="2"/>
    <w:p w14:paraId="34E2F4C0" w14:textId="77777777" w:rsidR="006F3A1C" w:rsidRPr="006F3A1C" w:rsidRDefault="006F3A1C" w:rsidP="006F3A1C">
      <w:pPr>
        <w:pStyle w:val="BodyText"/>
        <w:numPr>
          <w:ilvl w:val="1"/>
          <w:numId w:val="23"/>
        </w:numPr>
        <w:rPr>
          <w:lang w:val="en-GB"/>
        </w:rPr>
      </w:pPr>
      <w:proofErr w:type="gramStart"/>
      <w:r w:rsidRPr="006F3A1C">
        <w:rPr>
          <w:lang w:val="en-GB"/>
        </w:rPr>
        <w:t>Time line</w:t>
      </w:r>
      <w:proofErr w:type="gramEnd"/>
      <w:r w:rsidRPr="006F3A1C">
        <w:rPr>
          <w:lang w:val="en-GB"/>
        </w:rPr>
        <w:t xml:space="preserve"> related aspects adapted to 480kHz and 960kHz, e.g., BWP and beam switching </w:t>
      </w:r>
      <w:proofErr w:type="spellStart"/>
      <w:r w:rsidRPr="006F3A1C">
        <w:rPr>
          <w:lang w:val="en-GB"/>
        </w:rPr>
        <w:t>timeing</w:t>
      </w:r>
      <w:proofErr w:type="spellEnd"/>
      <w:r w:rsidRPr="006F3A1C">
        <w:rPr>
          <w:lang w:val="en-GB"/>
        </w:rPr>
        <w:t xml:space="preserve">, HARQ timing, UE processing, preparation and computation timelines for PDSCH, PUSCH/SRS and CSI, respectively. </w:t>
      </w:r>
    </w:p>
    <w:p w14:paraId="7D3734B7" w14:textId="77777777" w:rsidR="006F3A1C" w:rsidRPr="006F3A1C" w:rsidRDefault="006F3A1C" w:rsidP="006F3A1C">
      <w:pPr>
        <w:pStyle w:val="BodyText"/>
        <w:numPr>
          <w:ilvl w:val="1"/>
          <w:numId w:val="23"/>
        </w:numPr>
        <w:rPr>
          <w:lang w:val="en-GB"/>
        </w:rPr>
      </w:pPr>
      <w:r w:rsidRPr="006F3A1C">
        <w:rPr>
          <w:rFonts w:hint="eastAsia"/>
          <w:lang w:val="en-GB"/>
        </w:rPr>
        <w:t>Support enhancements for multi-PDSCH/PUSCH scheduling and HARQ support with a single DCI</w:t>
      </w:r>
    </w:p>
    <w:p w14:paraId="49EE4A17" w14:textId="1875A710" w:rsidR="006F3A1C" w:rsidRPr="006F3A1C" w:rsidRDefault="006F3A1C" w:rsidP="00EB3A4C">
      <w:pPr>
        <w:pStyle w:val="BodyText"/>
        <w:ind w:left="1440"/>
        <w:rPr>
          <w:lang w:val="en-GB"/>
        </w:rPr>
      </w:pPr>
      <w:r w:rsidRPr="006F3A1C">
        <w:rPr>
          <w:rFonts w:hint="eastAsia"/>
          <w:lang w:val="en-GB"/>
        </w:rPr>
        <w:t>Note: coverage enhancement for multi-PDSCH/PUSCH scheduling is not pursued</w:t>
      </w:r>
    </w:p>
    <w:p w14:paraId="559D26B3" w14:textId="77777777" w:rsidR="006F3A1C" w:rsidRPr="006F3A1C" w:rsidRDefault="006F3A1C" w:rsidP="006F3A1C">
      <w:pPr>
        <w:pStyle w:val="BodyText"/>
        <w:numPr>
          <w:ilvl w:val="1"/>
          <w:numId w:val="23"/>
        </w:numPr>
        <w:rPr>
          <w:lang w:val="en-GB"/>
        </w:rPr>
      </w:pPr>
      <w:r w:rsidRPr="006F3A1C">
        <w:rPr>
          <w:lang w:val="en-GB"/>
        </w:rPr>
        <w:t>Support enhancement to PDCCH monitoring, including blind detection/CCE budget, and multi-slot span monitoring, potential limitation to UE PDCCH configuration and capability related to PDCCH monitoring.</w:t>
      </w:r>
    </w:p>
    <w:p w14:paraId="43C50F28" w14:textId="3CBF0EE0" w:rsidR="003B7247" w:rsidRPr="00CE0424" w:rsidRDefault="003E33A4" w:rsidP="00394451">
      <w:pPr>
        <w:pStyle w:val="BodyText"/>
      </w:pPr>
      <w:r w:rsidRPr="003E33A4">
        <w:t>In this contribution,</w:t>
      </w:r>
      <w:r>
        <w:t xml:space="preserve"> we first discuss the UE PDCCH processing capabilities for new SCS</w:t>
      </w:r>
      <w:r w:rsidR="00220791">
        <w:t xml:space="preserve">. We </w:t>
      </w:r>
      <w:r w:rsidR="00191EEA">
        <w:t xml:space="preserve">then </w:t>
      </w:r>
      <w:r w:rsidR="009C34C8">
        <w:t xml:space="preserve">explore </w:t>
      </w:r>
      <w:r w:rsidR="00220791">
        <w:t xml:space="preserve">the solutions to support multi-slot PDCCH </w:t>
      </w:r>
      <w:r w:rsidR="0014122C">
        <w:t>monitoring.</w:t>
      </w:r>
    </w:p>
    <w:p w14:paraId="19EFBA2B" w14:textId="77777777" w:rsidR="00B46565" w:rsidRDefault="008B506A" w:rsidP="00A27B63">
      <w:pPr>
        <w:pStyle w:val="Heading1"/>
      </w:pPr>
      <w:r>
        <w:t>2</w:t>
      </w:r>
      <w:r>
        <w:tab/>
      </w:r>
      <w:r w:rsidR="00B46565">
        <w:t>Discussion</w:t>
      </w:r>
    </w:p>
    <w:p w14:paraId="045BCD1D" w14:textId="2A64D75C" w:rsidR="00014B54" w:rsidRDefault="00B65413" w:rsidP="00FB1644">
      <w:pPr>
        <w:pStyle w:val="Heading2"/>
      </w:pPr>
      <w:r>
        <w:t>2.1</w:t>
      </w:r>
      <w:r w:rsidR="008B506A">
        <w:tab/>
        <w:t>UE PDCCH processing capabilities</w:t>
      </w:r>
    </w:p>
    <w:p w14:paraId="72563F08" w14:textId="7F5A475D" w:rsidR="00305C09" w:rsidRDefault="008247F0" w:rsidP="00DD0F21">
      <w:pPr>
        <w:pStyle w:val="BodyText"/>
      </w:pPr>
      <w:r w:rsidRPr="008247F0">
        <w:t xml:space="preserve">With short OFDM symbol durations associated with large SCSs, the amount of time for UE and </w:t>
      </w:r>
      <w:proofErr w:type="spellStart"/>
      <w:r w:rsidRPr="008247F0">
        <w:t>gNB</w:t>
      </w:r>
      <w:proofErr w:type="spellEnd"/>
      <w:r w:rsidRPr="008247F0">
        <w:t xml:space="preserve"> to perform several critical operations can become quite challenging.</w:t>
      </w:r>
      <w:r>
        <w:t xml:space="preserve"> </w:t>
      </w:r>
      <w:r w:rsidR="00DD0F21">
        <w:t xml:space="preserve">Consider the UE PDCCH processing capabilities specified in Section 10.1 of </w:t>
      </w:r>
      <w:r w:rsidR="005B435E" w:rsidRPr="005B435E">
        <w:t>TS 38.213</w:t>
      </w:r>
      <w:r w:rsidR="00DD0F21">
        <w:t xml:space="preserve"> in terms of number of </w:t>
      </w:r>
      <w:proofErr w:type="gramStart"/>
      <w:r w:rsidR="00DD0F21">
        <w:t>blind</w:t>
      </w:r>
      <w:proofErr w:type="gramEnd"/>
      <w:r w:rsidR="00DD0F21">
        <w:t xml:space="preserve"> decodes in Table 10.1-2 and number of CCEs in Table 10.1-3. For both sets of PDCCH processing capabilities, the quantities </w:t>
      </w:r>
      <w:r w:rsidR="00DD0F21" w:rsidRPr="00085F74">
        <w:rPr>
          <w:u w:val="single"/>
        </w:rPr>
        <w:t xml:space="preserve">shrink </w:t>
      </w:r>
      <w:r w:rsidR="00DD0F21" w:rsidRPr="00FC21A3">
        <w:rPr>
          <w:u w:val="single"/>
        </w:rPr>
        <w:t>exponentially</w:t>
      </w:r>
      <w:r w:rsidR="00DD0F21">
        <w:t xml:space="preserve"> with </w:t>
      </w:r>
      <w:r w:rsidR="00256AF6">
        <w:t xml:space="preserve">SCS (value of </w:t>
      </w:r>
      <w:r w:rsidR="00256AF6">
        <w:rPr>
          <w:rFonts w:cs="Arial"/>
        </w:rPr>
        <w:t>µ</w:t>
      </w:r>
      <w:r w:rsidR="00256AF6">
        <w:t>)</w:t>
      </w:r>
      <w:r w:rsidR="00DD0F21">
        <w:t xml:space="preserve">. </w:t>
      </w:r>
    </w:p>
    <w:p w14:paraId="30126DD5" w14:textId="77777777" w:rsidR="00DD0F21" w:rsidRPr="00B916EC" w:rsidRDefault="00DD0F21" w:rsidP="00DD0F21">
      <w:pPr>
        <w:pStyle w:val="TH"/>
        <w:jc w:val="both"/>
      </w:pPr>
      <w:r>
        <w:lastRenderedPageBreak/>
        <w:t>Table 10.1-2</w:t>
      </w:r>
      <w:r w:rsidRPr="00B916EC">
        <w:t xml:space="preserve">: </w:t>
      </w:r>
      <w:r>
        <w:t xml:space="preserve">Maximum number </w:t>
      </w:r>
      <w:r>
        <w:rPr>
          <w:noProof/>
          <w:position w:val="-10"/>
        </w:rPr>
        <w:drawing>
          <wp:inline distT="0" distB="0" distL="0" distR="0" wp14:anchorId="4BED82F9" wp14:editId="71C6615F">
            <wp:extent cx="552450" cy="2413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241300"/>
                    </a:xfrm>
                    <a:prstGeom prst="rect">
                      <a:avLst/>
                    </a:prstGeom>
                    <a:noFill/>
                    <a:ln>
                      <a:noFill/>
                    </a:ln>
                  </pic:spPr>
                </pic:pic>
              </a:graphicData>
            </a:graphic>
          </wp:inline>
        </w:drawing>
      </w:r>
      <w:r>
        <w:t xml:space="preserve"> of monitored PDCCH candidates per slot for a DL BWP with SCS configuration </w:t>
      </w:r>
      <w:r>
        <w:rPr>
          <w:noProof/>
          <w:position w:val="-10"/>
        </w:rPr>
        <w:drawing>
          <wp:inline distT="0" distB="0" distL="0" distR="0" wp14:anchorId="62926E53" wp14:editId="269F46E3">
            <wp:extent cx="736600" cy="18415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36600" cy="184150"/>
                    </a:xfrm>
                    <a:prstGeom prst="rect">
                      <a:avLst/>
                    </a:prstGeom>
                    <a:noFill/>
                    <a:ln>
                      <a:noFill/>
                    </a:ln>
                  </pic:spPr>
                </pic:pic>
              </a:graphicData>
            </a:graphic>
          </wp:inline>
        </w:drawing>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DD0F21" w:rsidRPr="00B916EC" w14:paraId="6BCE3873" w14:textId="77777777" w:rsidTr="00F04424">
        <w:trPr>
          <w:cantSplit/>
          <w:jc w:val="center"/>
        </w:trPr>
        <w:tc>
          <w:tcPr>
            <w:tcW w:w="1465" w:type="dxa"/>
            <w:shd w:val="clear" w:color="auto" w:fill="E0E0E0"/>
            <w:vAlign w:val="center"/>
          </w:tcPr>
          <w:p w14:paraId="4E0C5BBF" w14:textId="77777777" w:rsidR="00DD0F21" w:rsidRPr="00B916EC" w:rsidRDefault="00DD0F21" w:rsidP="00F04424">
            <w:pPr>
              <w:pStyle w:val="TAH"/>
              <w:rPr>
                <w:rFonts w:ascii="Times New Roman" w:hAnsi="Times New Roman"/>
                <w:sz w:val="20"/>
              </w:rPr>
            </w:pPr>
            <w:r>
              <w:rPr>
                <w:noProof/>
                <w:position w:val="-10"/>
              </w:rPr>
              <w:drawing>
                <wp:inline distT="0" distB="0" distL="0" distR="0" wp14:anchorId="476F390C" wp14:editId="10EC5F3F">
                  <wp:extent cx="184150" cy="184150"/>
                  <wp:effectExtent l="0" t="0" r="635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800" w:type="dxa"/>
            <w:shd w:val="clear" w:color="auto" w:fill="E0E0E0"/>
            <w:vAlign w:val="center"/>
          </w:tcPr>
          <w:p w14:paraId="4B288048" w14:textId="77777777" w:rsidR="00DD0F21" w:rsidRPr="00B916EC" w:rsidRDefault="00DD0F21" w:rsidP="00F04424">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Pr>
                <w:noProof/>
                <w:position w:val="-10"/>
              </w:rPr>
              <w:drawing>
                <wp:inline distT="0" distB="0" distL="0" distR="0" wp14:anchorId="570EBE37" wp14:editId="6BA42503">
                  <wp:extent cx="552450" cy="2476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p>
        </w:tc>
      </w:tr>
      <w:tr w:rsidR="00DD0F21" w:rsidRPr="00B916EC" w14:paraId="20E48ECF" w14:textId="77777777" w:rsidTr="00F04424">
        <w:trPr>
          <w:cantSplit/>
          <w:jc w:val="center"/>
        </w:trPr>
        <w:tc>
          <w:tcPr>
            <w:tcW w:w="1465" w:type="dxa"/>
            <w:vAlign w:val="center"/>
          </w:tcPr>
          <w:p w14:paraId="61587C00" w14:textId="77777777" w:rsidR="00DD0F21" w:rsidRPr="00B916EC" w:rsidRDefault="00DD0F21" w:rsidP="00F04424">
            <w:pPr>
              <w:pStyle w:val="TAC"/>
            </w:pPr>
            <w:r>
              <w:t>0</w:t>
            </w:r>
          </w:p>
        </w:tc>
        <w:tc>
          <w:tcPr>
            <w:tcW w:w="7800" w:type="dxa"/>
            <w:vAlign w:val="center"/>
          </w:tcPr>
          <w:p w14:paraId="1A99FF51" w14:textId="77777777" w:rsidR="00DD0F21" w:rsidRPr="00B916EC" w:rsidRDefault="00DD0F21" w:rsidP="00F04424">
            <w:pPr>
              <w:pStyle w:val="TAC"/>
            </w:pPr>
            <w:r w:rsidRPr="00B916EC">
              <w:t>4</w:t>
            </w:r>
            <w:r>
              <w:t>4</w:t>
            </w:r>
          </w:p>
        </w:tc>
      </w:tr>
      <w:tr w:rsidR="00DD0F21" w:rsidRPr="00B916EC" w14:paraId="5F707DAF" w14:textId="77777777" w:rsidTr="00F04424">
        <w:trPr>
          <w:cantSplit/>
          <w:jc w:val="center"/>
        </w:trPr>
        <w:tc>
          <w:tcPr>
            <w:tcW w:w="1465" w:type="dxa"/>
            <w:vAlign w:val="center"/>
          </w:tcPr>
          <w:p w14:paraId="7B476081" w14:textId="77777777" w:rsidR="00DD0F21" w:rsidRPr="00B916EC" w:rsidRDefault="00DD0F21" w:rsidP="00F04424">
            <w:pPr>
              <w:pStyle w:val="TAC"/>
            </w:pPr>
            <w:r>
              <w:t>1</w:t>
            </w:r>
          </w:p>
        </w:tc>
        <w:tc>
          <w:tcPr>
            <w:tcW w:w="7800" w:type="dxa"/>
            <w:vAlign w:val="center"/>
          </w:tcPr>
          <w:p w14:paraId="7C4E35BD" w14:textId="77777777" w:rsidR="00DD0F21" w:rsidRPr="00B916EC" w:rsidRDefault="00DD0F21" w:rsidP="00F04424">
            <w:pPr>
              <w:pStyle w:val="TAC"/>
            </w:pPr>
            <w:r>
              <w:t>36</w:t>
            </w:r>
          </w:p>
        </w:tc>
      </w:tr>
      <w:tr w:rsidR="00DD0F21" w:rsidRPr="00B916EC" w14:paraId="001574F1" w14:textId="77777777" w:rsidTr="00F04424">
        <w:trPr>
          <w:cantSplit/>
          <w:jc w:val="center"/>
        </w:trPr>
        <w:tc>
          <w:tcPr>
            <w:tcW w:w="1465" w:type="dxa"/>
            <w:vAlign w:val="center"/>
          </w:tcPr>
          <w:p w14:paraId="79927D4F" w14:textId="77777777" w:rsidR="00DD0F21" w:rsidRPr="00B916EC" w:rsidRDefault="00DD0F21" w:rsidP="00F04424">
            <w:pPr>
              <w:pStyle w:val="TAC"/>
            </w:pPr>
            <w:r>
              <w:t>2</w:t>
            </w:r>
          </w:p>
        </w:tc>
        <w:tc>
          <w:tcPr>
            <w:tcW w:w="7800" w:type="dxa"/>
            <w:vAlign w:val="center"/>
          </w:tcPr>
          <w:p w14:paraId="03DE3EA2" w14:textId="77777777" w:rsidR="00DD0F21" w:rsidRPr="00B916EC" w:rsidRDefault="00DD0F21" w:rsidP="00F04424">
            <w:pPr>
              <w:pStyle w:val="TAC"/>
            </w:pPr>
            <w:r>
              <w:t>22</w:t>
            </w:r>
          </w:p>
        </w:tc>
      </w:tr>
      <w:tr w:rsidR="00DD0F21" w:rsidRPr="00B916EC" w14:paraId="62C6CC0E" w14:textId="77777777" w:rsidTr="00F04424">
        <w:trPr>
          <w:cantSplit/>
          <w:jc w:val="center"/>
        </w:trPr>
        <w:tc>
          <w:tcPr>
            <w:tcW w:w="1465" w:type="dxa"/>
            <w:vAlign w:val="center"/>
          </w:tcPr>
          <w:p w14:paraId="5233FBD8" w14:textId="77777777" w:rsidR="00DD0F21" w:rsidRDefault="00DD0F21" w:rsidP="00F04424">
            <w:pPr>
              <w:pStyle w:val="TAC"/>
            </w:pPr>
            <w:r>
              <w:t>3</w:t>
            </w:r>
          </w:p>
        </w:tc>
        <w:tc>
          <w:tcPr>
            <w:tcW w:w="7800" w:type="dxa"/>
            <w:vAlign w:val="center"/>
          </w:tcPr>
          <w:p w14:paraId="2F517373" w14:textId="77777777" w:rsidR="00DD0F21" w:rsidRDefault="00DD0F21" w:rsidP="00F04424">
            <w:pPr>
              <w:pStyle w:val="TAC"/>
            </w:pPr>
            <w:r>
              <w:t>20</w:t>
            </w:r>
          </w:p>
        </w:tc>
      </w:tr>
    </w:tbl>
    <w:p w14:paraId="7F8F27A6" w14:textId="77777777" w:rsidR="00DD0F21" w:rsidRDefault="00DD0F21" w:rsidP="00DD0F21">
      <w:pPr>
        <w:pStyle w:val="BodyText"/>
      </w:pPr>
    </w:p>
    <w:p w14:paraId="31F10118" w14:textId="77777777" w:rsidR="00DD0F21" w:rsidRPr="00B916EC" w:rsidRDefault="00DD0F21" w:rsidP="00DD0F21">
      <w:pPr>
        <w:pStyle w:val="TH"/>
        <w:jc w:val="both"/>
      </w:pPr>
      <w:r>
        <w:t>Table 10.1-3</w:t>
      </w:r>
      <w:r w:rsidRPr="00B916EC">
        <w:t xml:space="preserve">: </w:t>
      </w:r>
      <w:r>
        <w:t xml:space="preserve">Maximum number </w:t>
      </w:r>
      <w:r>
        <w:rPr>
          <w:noProof/>
          <w:position w:val="-10"/>
        </w:rPr>
        <w:drawing>
          <wp:inline distT="0" distB="0" distL="0" distR="0" wp14:anchorId="132CC68C" wp14:editId="37C9B669">
            <wp:extent cx="488950" cy="24130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8950" cy="241300"/>
                    </a:xfrm>
                    <a:prstGeom prst="rect">
                      <a:avLst/>
                    </a:prstGeom>
                    <a:noFill/>
                    <a:ln>
                      <a:noFill/>
                    </a:ln>
                  </pic:spPr>
                </pic:pic>
              </a:graphicData>
            </a:graphic>
          </wp:inline>
        </w:drawing>
      </w:r>
      <w:r>
        <w:t xml:space="preserve"> of non-overlapped CCEs per slot for a DL BWP with SCS configuration </w:t>
      </w:r>
      <w:r>
        <w:rPr>
          <w:noProof/>
          <w:position w:val="-10"/>
        </w:rPr>
        <w:drawing>
          <wp:inline distT="0" distB="0" distL="0" distR="0" wp14:anchorId="5067B3E8" wp14:editId="356DBC59">
            <wp:extent cx="736600" cy="184150"/>
            <wp:effectExtent l="0" t="0" r="635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36600" cy="184150"/>
                    </a:xfrm>
                    <a:prstGeom prst="rect">
                      <a:avLst/>
                    </a:prstGeom>
                    <a:noFill/>
                    <a:ln>
                      <a:noFill/>
                    </a:ln>
                  </pic:spPr>
                </pic:pic>
              </a:graphicData>
            </a:graphic>
          </wp:inline>
        </w:drawing>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DD0F21" w:rsidRPr="00BB208D" w14:paraId="6A9678F4" w14:textId="77777777" w:rsidTr="00F04424">
        <w:trPr>
          <w:cantSplit/>
          <w:jc w:val="center"/>
        </w:trPr>
        <w:tc>
          <w:tcPr>
            <w:tcW w:w="1465" w:type="dxa"/>
            <w:shd w:val="clear" w:color="auto" w:fill="E0E0E0"/>
            <w:vAlign w:val="center"/>
          </w:tcPr>
          <w:p w14:paraId="05C3BDE1" w14:textId="77777777" w:rsidR="00DD0F21" w:rsidRPr="00B916EC" w:rsidRDefault="00DD0F21" w:rsidP="00F04424">
            <w:pPr>
              <w:pStyle w:val="TAH"/>
              <w:rPr>
                <w:rFonts w:ascii="Times New Roman" w:hAnsi="Times New Roman"/>
                <w:sz w:val="20"/>
              </w:rPr>
            </w:pPr>
            <w:r>
              <w:rPr>
                <w:noProof/>
                <w:position w:val="-10"/>
              </w:rPr>
              <w:drawing>
                <wp:inline distT="0" distB="0" distL="0" distR="0" wp14:anchorId="4DDF7FD8" wp14:editId="12384F53">
                  <wp:extent cx="184150" cy="18415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170" w:type="dxa"/>
            <w:shd w:val="clear" w:color="auto" w:fill="E0E0E0"/>
            <w:vAlign w:val="center"/>
          </w:tcPr>
          <w:p w14:paraId="41581124" w14:textId="77777777" w:rsidR="00DD0F21" w:rsidRPr="00B916EC" w:rsidRDefault="00DD0F21" w:rsidP="00F04424">
            <w:pPr>
              <w:pStyle w:val="TAH"/>
              <w:rPr>
                <w:rFonts w:ascii="Times New Roman" w:hAnsi="Times New Roman"/>
                <w:sz w:val="20"/>
              </w:rPr>
            </w:pPr>
            <w:r>
              <w:t>Maximum n</w:t>
            </w:r>
            <w:r w:rsidRPr="00B916EC">
              <w:t xml:space="preserve">umber of </w:t>
            </w:r>
            <w:r>
              <w:t xml:space="preserve">non-overlapped CCEs per slot and per serving cell </w:t>
            </w:r>
            <w:r>
              <w:rPr>
                <w:noProof/>
                <w:position w:val="-10"/>
              </w:rPr>
              <w:drawing>
                <wp:inline distT="0" distB="0" distL="0" distR="0" wp14:anchorId="1547CC11" wp14:editId="7E6C6264">
                  <wp:extent cx="488950" cy="24765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8950" cy="247650"/>
                          </a:xfrm>
                          <a:prstGeom prst="rect">
                            <a:avLst/>
                          </a:prstGeom>
                          <a:noFill/>
                          <a:ln>
                            <a:noFill/>
                          </a:ln>
                        </pic:spPr>
                      </pic:pic>
                    </a:graphicData>
                  </a:graphic>
                </wp:inline>
              </w:drawing>
            </w:r>
          </w:p>
        </w:tc>
      </w:tr>
      <w:tr w:rsidR="00DD0F21" w:rsidRPr="00BB208D" w14:paraId="23FC7279" w14:textId="77777777" w:rsidTr="00F04424">
        <w:trPr>
          <w:cantSplit/>
          <w:jc w:val="center"/>
        </w:trPr>
        <w:tc>
          <w:tcPr>
            <w:tcW w:w="1465" w:type="dxa"/>
            <w:vAlign w:val="center"/>
          </w:tcPr>
          <w:p w14:paraId="29AB118B" w14:textId="77777777" w:rsidR="00DD0F21" w:rsidRPr="00B916EC" w:rsidRDefault="00DD0F21" w:rsidP="00F04424">
            <w:pPr>
              <w:pStyle w:val="TAC"/>
            </w:pPr>
            <w:r>
              <w:t>0</w:t>
            </w:r>
          </w:p>
        </w:tc>
        <w:tc>
          <w:tcPr>
            <w:tcW w:w="7170" w:type="dxa"/>
            <w:vAlign w:val="center"/>
          </w:tcPr>
          <w:p w14:paraId="22CCC05D" w14:textId="77777777" w:rsidR="00DD0F21" w:rsidRPr="00B916EC" w:rsidRDefault="00DD0F21" w:rsidP="00F04424">
            <w:pPr>
              <w:pStyle w:val="TAC"/>
            </w:pPr>
            <w:r>
              <w:t>56</w:t>
            </w:r>
          </w:p>
        </w:tc>
      </w:tr>
      <w:tr w:rsidR="00DD0F21" w:rsidRPr="00BB208D" w14:paraId="49641D12" w14:textId="77777777" w:rsidTr="00F04424">
        <w:trPr>
          <w:cantSplit/>
          <w:jc w:val="center"/>
        </w:trPr>
        <w:tc>
          <w:tcPr>
            <w:tcW w:w="1465" w:type="dxa"/>
            <w:vAlign w:val="center"/>
          </w:tcPr>
          <w:p w14:paraId="26C058C3" w14:textId="77777777" w:rsidR="00DD0F21" w:rsidRPr="00B916EC" w:rsidRDefault="00DD0F21" w:rsidP="00F04424">
            <w:pPr>
              <w:pStyle w:val="TAC"/>
            </w:pPr>
            <w:r>
              <w:t>1</w:t>
            </w:r>
          </w:p>
        </w:tc>
        <w:tc>
          <w:tcPr>
            <w:tcW w:w="7170" w:type="dxa"/>
            <w:vAlign w:val="center"/>
          </w:tcPr>
          <w:p w14:paraId="3C19EB49" w14:textId="77777777" w:rsidR="00DD0F21" w:rsidRPr="00B916EC" w:rsidRDefault="00DD0F21" w:rsidP="00F04424">
            <w:pPr>
              <w:pStyle w:val="TAC"/>
            </w:pPr>
            <w:r>
              <w:t>56</w:t>
            </w:r>
          </w:p>
        </w:tc>
      </w:tr>
      <w:tr w:rsidR="00DD0F21" w:rsidRPr="00BB208D" w14:paraId="4F628925" w14:textId="77777777" w:rsidTr="00F04424">
        <w:trPr>
          <w:cantSplit/>
          <w:jc w:val="center"/>
        </w:trPr>
        <w:tc>
          <w:tcPr>
            <w:tcW w:w="1465" w:type="dxa"/>
            <w:vAlign w:val="center"/>
          </w:tcPr>
          <w:p w14:paraId="20BC154E" w14:textId="77777777" w:rsidR="00DD0F21" w:rsidRPr="00B916EC" w:rsidRDefault="00DD0F21" w:rsidP="00F04424">
            <w:pPr>
              <w:pStyle w:val="TAC"/>
            </w:pPr>
            <w:r>
              <w:t>2</w:t>
            </w:r>
          </w:p>
        </w:tc>
        <w:tc>
          <w:tcPr>
            <w:tcW w:w="7170" w:type="dxa"/>
            <w:vAlign w:val="center"/>
          </w:tcPr>
          <w:p w14:paraId="6A8A1C0A" w14:textId="77777777" w:rsidR="00DD0F21" w:rsidRPr="00B916EC" w:rsidRDefault="00DD0F21" w:rsidP="00F04424">
            <w:pPr>
              <w:pStyle w:val="TAC"/>
            </w:pPr>
            <w:r>
              <w:t>48</w:t>
            </w:r>
          </w:p>
        </w:tc>
      </w:tr>
      <w:tr w:rsidR="00DD0F21" w:rsidRPr="00BB208D" w14:paraId="2BB6B8E7" w14:textId="77777777" w:rsidTr="00F04424">
        <w:trPr>
          <w:cantSplit/>
          <w:jc w:val="center"/>
        </w:trPr>
        <w:tc>
          <w:tcPr>
            <w:tcW w:w="1465" w:type="dxa"/>
            <w:vAlign w:val="center"/>
          </w:tcPr>
          <w:p w14:paraId="12341E4C" w14:textId="77777777" w:rsidR="00DD0F21" w:rsidRDefault="00DD0F21" w:rsidP="00F04424">
            <w:pPr>
              <w:pStyle w:val="TAC"/>
            </w:pPr>
            <w:r>
              <w:t>3</w:t>
            </w:r>
          </w:p>
        </w:tc>
        <w:tc>
          <w:tcPr>
            <w:tcW w:w="7170" w:type="dxa"/>
            <w:vAlign w:val="center"/>
          </w:tcPr>
          <w:p w14:paraId="747AF284" w14:textId="77777777" w:rsidR="00DD0F21" w:rsidRDefault="00DD0F21" w:rsidP="00F04424">
            <w:pPr>
              <w:pStyle w:val="TAC"/>
            </w:pPr>
            <w:r>
              <w:t>32</w:t>
            </w:r>
          </w:p>
        </w:tc>
      </w:tr>
    </w:tbl>
    <w:p w14:paraId="1BE02EA4" w14:textId="76F821B5" w:rsidR="00DD0F21" w:rsidRDefault="00DD0F21" w:rsidP="00DD0F21">
      <w:pPr>
        <w:pStyle w:val="BodyText"/>
      </w:pPr>
    </w:p>
    <w:p w14:paraId="0CBE91A9" w14:textId="1069384B" w:rsidR="00E35AE9" w:rsidRPr="000E4B12" w:rsidRDefault="00C4786E" w:rsidP="00E35AE9">
      <w:pPr>
        <w:pStyle w:val="BodyText"/>
      </w:pPr>
      <w:r>
        <w:t xml:space="preserve">As a first step to start the processing timeline discussion, we fit simple formulae to the Rel-15 processing </w:t>
      </w:r>
      <w:r w:rsidR="00A43E75">
        <w:t>capabilities</w:t>
      </w:r>
      <w:r>
        <w:t xml:space="preserve"> as the benchmarks for NR operation in 52.6 to 71 GHz. </w:t>
      </w:r>
      <w:r w:rsidR="00E35AE9" w:rsidRPr="000E4B12">
        <w:t>The Rel-15 PDCCH processing capabilities per slot can be fitted to simple formulae to obtain initial benchmarks for further discussion. Using the minimum mean absolute deviation fitting, the fitted PDCCH processing capabilities per slot are shown as follows:</w:t>
      </w:r>
    </w:p>
    <w:p w14:paraId="05E6B5F9" w14:textId="7528EADA" w:rsidR="00E35AE9" w:rsidRPr="000E4B12" w:rsidRDefault="009D54EF" w:rsidP="00E35AE9">
      <w:pPr>
        <w:pStyle w:val="BodyText"/>
      </w:pPr>
      <m:oMathPara>
        <m:oMathParaPr>
          <m:jc m:val="centerGroup"/>
        </m:oMathParaPr>
        <m:oMath>
          <m:sSubSup>
            <m:sSubSupPr>
              <m:ctrlPr>
                <w:rPr>
                  <w:rFonts w:ascii="Cambria Math" w:hAnsi="Cambria Math"/>
                </w:rPr>
              </m:ctrlPr>
            </m:sSubSupPr>
            <m:e>
              <m:r>
                <w:rPr>
                  <w:rFonts w:ascii="Cambria Math" w:hAnsi="Cambria Math"/>
                </w:rPr>
                <m:t>N</m:t>
              </m:r>
            </m:e>
            <m:sub>
              <m:r>
                <m:rPr>
                  <m:sty m:val="p"/>
                </m:rPr>
                <w:rPr>
                  <w:rFonts w:ascii="Cambria Math" w:hAnsi="Cambria Math"/>
                </w:rPr>
                <m:t>BD</m:t>
              </m:r>
              <m:r>
                <m:rPr>
                  <m:sty m:val="p"/>
                </m:rPr>
                <w:rPr>
                  <w:rFonts w:ascii="Cambria Math" w:hAnsi="Cambria Math" w:cs="Times New Roman"/>
                </w:rPr>
                <m:t>, μ</m:t>
              </m:r>
            </m:sub>
            <m:sup>
              <m:r>
                <m:rPr>
                  <m:sty m:val="p"/>
                </m:rPr>
                <w:rPr>
                  <w:rFonts w:ascii="Cambria Math" w:hAnsi="Cambria Math"/>
                </w:rPr>
                <m:t>slot</m:t>
              </m:r>
            </m:sup>
          </m:sSubSup>
          <m:r>
            <w:rPr>
              <w:rFonts w:ascii="Cambria Math" w:hAnsi="Cambria Math"/>
            </w:rPr>
            <m:t>≅44×</m:t>
          </m:r>
          <m:sSup>
            <m:sSupPr>
              <m:ctrlPr>
                <w:rPr>
                  <w:rFonts w:ascii="Cambria Math" w:hAnsi="Cambria Math"/>
                </w:rPr>
              </m:ctrlPr>
            </m:sSupPr>
            <m:e>
              <m:r>
                <w:rPr>
                  <w:rFonts w:ascii="Cambria Math" w:hAnsi="Cambria Math"/>
                </w:rPr>
                <m:t>2</m:t>
              </m:r>
            </m:e>
            <m:sup>
              <m:r>
                <w:rPr>
                  <w:rFonts w:ascii="Cambria Math" w:hAnsi="Cambria Math"/>
                </w:rPr>
                <m:t>-0.38μ</m:t>
              </m:r>
            </m:sup>
          </m:sSup>
        </m:oMath>
      </m:oMathPara>
    </w:p>
    <w:p w14:paraId="7EDFC00F" w14:textId="0A0B12FA" w:rsidR="00E35AE9" w:rsidRPr="00BA04A6" w:rsidRDefault="009D54EF" w:rsidP="00E35AE9">
      <w:pPr>
        <w:pStyle w:val="BodyText"/>
        <w:rPr>
          <w:rFonts w:eastAsiaTheme="minorEastAsia"/>
        </w:rPr>
      </w:pPr>
      <m:oMathPara>
        <m:oMath>
          <m:sSubSup>
            <m:sSubSupPr>
              <m:ctrlPr>
                <w:rPr>
                  <w:rFonts w:ascii="Cambria Math" w:hAnsi="Cambria Math"/>
                </w:rPr>
              </m:ctrlPr>
            </m:sSubSupPr>
            <m:e>
              <m:r>
                <w:rPr>
                  <w:rFonts w:ascii="Cambria Math" w:hAnsi="Cambria Math"/>
                </w:rPr>
                <m:t>N</m:t>
              </m:r>
            </m:e>
            <m:sub>
              <m:r>
                <m:rPr>
                  <m:sty m:val="p"/>
                </m:rPr>
                <w:rPr>
                  <w:rFonts w:ascii="Cambria Math" w:hAnsi="Cambria Math"/>
                </w:rPr>
                <m:t>CCE</m:t>
              </m:r>
              <m:r>
                <m:rPr>
                  <m:sty m:val="b"/>
                </m:rPr>
                <w:rPr>
                  <w:rFonts w:ascii="Cambria Math" w:hAnsi="Cambria Math" w:cs="Times New Roman"/>
                </w:rPr>
                <m:t xml:space="preserve">, </m:t>
              </m:r>
              <m:r>
                <m:rPr>
                  <m:sty m:val="p"/>
                </m:rPr>
                <w:rPr>
                  <w:rFonts w:ascii="Cambria Math" w:hAnsi="Cambria Math" w:cs="Times New Roman"/>
                </w:rPr>
                <m:t>μ</m:t>
              </m:r>
            </m:sub>
            <m:sup>
              <m:r>
                <m:rPr>
                  <m:sty m:val="p"/>
                </m:rPr>
                <w:rPr>
                  <w:rFonts w:ascii="Cambria Math" w:hAnsi="Cambria Math"/>
                </w:rPr>
                <m:t>slot</m:t>
              </m:r>
            </m:sup>
          </m:sSubSup>
          <m:r>
            <m:rPr>
              <m:sty m:val="p"/>
            </m:rPr>
            <w:rPr>
              <w:rFonts w:ascii="Cambria Math" w:hAnsi="Cambria Math"/>
            </w:rPr>
            <m:t>≅62.6×</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-0.32</m:t>
              </m:r>
              <m:r>
                <w:rPr>
                  <w:rFonts w:ascii="Cambria Math" w:hAnsi="Cambria Math"/>
                </w:rPr>
                <m:t>μ</m:t>
              </m:r>
            </m:sup>
          </m:sSup>
        </m:oMath>
      </m:oMathPara>
    </w:p>
    <w:p w14:paraId="4C51AC06" w14:textId="014D5613" w:rsidR="006F1A0F" w:rsidRPr="00B04ED4" w:rsidRDefault="00BA04A6" w:rsidP="00B24670">
      <w:pPr>
        <w:pStyle w:val="BodyText"/>
      </w:pPr>
      <w:r w:rsidRPr="00B24670">
        <w:t xml:space="preserve">The formula was optimized to minimize the mean absolute deviation from the Rel-15 values. </w:t>
      </w:r>
      <w:bookmarkStart w:id="4" w:name="_Hlk61353668"/>
      <w:r w:rsidR="006F1A0F" w:rsidRPr="00B24670">
        <w:t>The fitted formulae clearly exhibit exponential reduction in UE PDCCH processing capabilities with higher numerologies</w:t>
      </w:r>
      <w:r w:rsidR="00B24670">
        <w:t xml:space="preserve"> as can be further observed in </w:t>
      </w:r>
      <w:r w:rsidR="00B24670">
        <w:fldChar w:fldCharType="begin"/>
      </w:r>
      <w:r w:rsidR="00B24670">
        <w:instrText xml:space="preserve"> REF _Ref60921413 \h </w:instrText>
      </w:r>
      <w:r w:rsidR="00B24670">
        <w:fldChar w:fldCharType="separate"/>
      </w:r>
      <w:r w:rsidR="004D5D08">
        <w:t xml:space="preserve">Figure </w:t>
      </w:r>
      <w:r w:rsidR="004D5D08">
        <w:rPr>
          <w:noProof/>
        </w:rPr>
        <w:t>1</w:t>
      </w:r>
      <w:r w:rsidR="00B24670">
        <w:fldChar w:fldCharType="end"/>
      </w:r>
      <w:r w:rsidR="006F1A0F" w:rsidRPr="00B24670">
        <w:t>.</w:t>
      </w:r>
      <w:bookmarkEnd w:id="4"/>
      <w:r w:rsidR="00D04D9F">
        <w:t xml:space="preserve"> Since </w:t>
      </w:r>
      <m:oMath>
        <m:sSubSup>
          <m:sSubSupPr>
            <m:ctrlPr>
              <w:rPr>
                <w:rFonts w:ascii="Cambria Math" w:hAnsi="Cambria Math"/>
              </w:rPr>
            </m:ctrlPr>
          </m:sSubSupPr>
          <m:e>
            <m:r>
              <w:rPr>
                <w:rFonts w:ascii="Cambria Math" w:hAnsi="Cambria Math"/>
              </w:rPr>
              <m:t>N</m:t>
            </m:r>
          </m:e>
          <m:sub>
            <m:r>
              <m:rPr>
                <m:sty m:val="p"/>
              </m:rPr>
              <w:rPr>
                <w:rFonts w:ascii="Cambria Math" w:hAnsi="Cambria Math"/>
              </w:rPr>
              <m:t>CCE</m:t>
            </m:r>
            <m:r>
              <m:rPr>
                <m:sty m:val="b"/>
              </m:rPr>
              <w:rPr>
                <w:rFonts w:ascii="Cambria Math" w:hAnsi="Cambria Math" w:cs="Times New Roman"/>
              </w:rPr>
              <m:t xml:space="preserve">, </m:t>
            </m:r>
            <m:r>
              <m:rPr>
                <m:sty m:val="p"/>
              </m:rPr>
              <w:rPr>
                <w:rFonts w:ascii="Cambria Math" w:hAnsi="Cambria Math" w:cs="Times New Roman"/>
              </w:rPr>
              <m:t>μ</m:t>
            </m:r>
          </m:sub>
          <m:sup>
            <m:r>
              <m:rPr>
                <m:sty m:val="p"/>
              </m:rPr>
              <w:rPr>
                <w:rFonts w:ascii="Cambria Math" w:hAnsi="Cambria Math"/>
              </w:rPr>
              <m:t>slot</m:t>
            </m:r>
          </m:sup>
        </m:sSubSup>
      </m:oMath>
      <w:r w:rsidR="00AD6A37">
        <w:rPr>
          <w:rFonts w:eastAsiaTheme="minorEastAsia"/>
        </w:rPr>
        <w:t xml:space="preserve"> for </w:t>
      </w:r>
      <m:oMath>
        <m:r>
          <w:rPr>
            <w:rFonts w:ascii="Cambria Math" w:eastAsiaTheme="minorEastAsia" w:hAnsi="Cambria Math"/>
          </w:rPr>
          <m:t>μ=0</m:t>
        </m:r>
      </m:oMath>
      <w:r w:rsidR="00AD6A37">
        <w:rPr>
          <w:rFonts w:eastAsiaTheme="minorEastAsia"/>
        </w:rPr>
        <w:t xml:space="preserve"> and </w:t>
      </w:r>
      <m:oMath>
        <m:r>
          <w:rPr>
            <w:rFonts w:ascii="Cambria Math" w:eastAsiaTheme="minorEastAsia" w:hAnsi="Cambria Math"/>
          </w:rPr>
          <m:t>μ=1</m:t>
        </m:r>
      </m:oMath>
      <w:r w:rsidR="00AD6A37">
        <w:rPr>
          <w:rFonts w:eastAsiaTheme="minorEastAsia"/>
        </w:rPr>
        <w:t xml:space="preserve"> are identical, the fitting </w:t>
      </w:r>
      <w:r w:rsidR="00F91CFE">
        <w:rPr>
          <w:rFonts w:eastAsiaTheme="minorEastAsia"/>
        </w:rPr>
        <w:t>uses</w:t>
      </w:r>
      <w:r w:rsidR="007F4351">
        <w:rPr>
          <w:rFonts w:eastAsiaTheme="minorEastAsia"/>
        </w:rPr>
        <w:t xml:space="preserve"> a nominal </w:t>
      </w:r>
      <m:oMath>
        <m:r>
          <w:rPr>
            <w:rFonts w:ascii="Cambria Math" w:eastAsiaTheme="minorEastAsia" w:hAnsi="Cambria Math"/>
          </w:rPr>
          <m:t>μ=0.5</m:t>
        </m:r>
      </m:oMath>
      <w:r w:rsidR="007F4351">
        <w:rPr>
          <w:rFonts w:eastAsiaTheme="minorEastAsia"/>
        </w:rPr>
        <w:t xml:space="preserve"> to pair with </w:t>
      </w:r>
      <m:oMath>
        <m:sSubSup>
          <m:sSubSupPr>
            <m:ctrlPr>
              <w:rPr>
                <w:rFonts w:ascii="Cambria Math" w:hAnsi="Cambria Math"/>
              </w:rPr>
            </m:ctrlPr>
          </m:sSubSupPr>
          <m:e>
            <m:r>
              <w:rPr>
                <w:rFonts w:ascii="Cambria Math" w:hAnsi="Cambria Math"/>
              </w:rPr>
              <m:t>N</m:t>
            </m:r>
          </m:e>
          <m:sub>
            <m:r>
              <m:rPr>
                <m:sty m:val="p"/>
              </m:rPr>
              <w:rPr>
                <w:rFonts w:ascii="Cambria Math" w:hAnsi="Cambria Math"/>
              </w:rPr>
              <m:t>CCE</m:t>
            </m:r>
            <m:r>
              <m:rPr>
                <m:sty m:val="b"/>
              </m:rPr>
              <w:rPr>
                <w:rFonts w:ascii="Cambria Math" w:hAnsi="Cambria Math" w:cs="Times New Roman"/>
              </w:rPr>
              <m:t xml:space="preserve">, </m:t>
            </m:r>
            <m:r>
              <m:rPr>
                <m:sty m:val="p"/>
              </m:rPr>
              <w:rPr>
                <w:rFonts w:ascii="Cambria Math" w:hAnsi="Cambria Math" w:cs="Times New Roman"/>
              </w:rPr>
              <m:t>μ</m:t>
            </m:r>
          </m:sub>
          <m:sup>
            <m:r>
              <m:rPr>
                <m:sty m:val="p"/>
              </m:rPr>
              <w:rPr>
                <w:rFonts w:ascii="Cambria Math" w:hAnsi="Cambria Math"/>
              </w:rPr>
              <m:t>slot</m:t>
            </m:r>
          </m:sup>
        </m:sSubSup>
        <m:r>
          <w:rPr>
            <w:rFonts w:ascii="Cambria Math" w:hAnsi="Cambria Math"/>
          </w:rPr>
          <m:t>=56</m:t>
        </m:r>
      </m:oMath>
      <w:r w:rsidR="007F4351">
        <w:rPr>
          <w:rFonts w:eastAsiaTheme="minorEastAsia"/>
        </w:rPr>
        <w:t xml:space="preserve"> as input.</w:t>
      </w:r>
    </w:p>
    <w:p w14:paraId="5BC5FB0C" w14:textId="51ED37C8" w:rsidR="00F91CFE" w:rsidRDefault="00F91CFE" w:rsidP="00F91CFE">
      <w:pPr>
        <w:pStyle w:val="BodyText"/>
        <w:jc w:val="center"/>
      </w:pPr>
      <w:r>
        <w:rPr>
          <w:noProof/>
          <w:sz w:val="16"/>
          <w:szCs w:val="16"/>
          <w:lang w:eastAsia="en-US"/>
        </w:rPr>
        <w:drawing>
          <wp:inline distT="0" distB="0" distL="0" distR="0" wp14:anchorId="4DC8BDCE" wp14:editId="292661AD">
            <wp:extent cx="3200400" cy="2395728"/>
            <wp:effectExtent l="0" t="0" r="0" b="508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d_cce_extrapolation.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200400" cy="2395728"/>
                    </a:xfrm>
                    <a:prstGeom prst="rect">
                      <a:avLst/>
                    </a:prstGeom>
                  </pic:spPr>
                </pic:pic>
              </a:graphicData>
            </a:graphic>
          </wp:inline>
        </w:drawing>
      </w:r>
    </w:p>
    <w:p w14:paraId="3D00A069" w14:textId="1F4A4998" w:rsidR="00F91CFE" w:rsidRDefault="00F91CFE" w:rsidP="00F91CFE">
      <w:pPr>
        <w:pStyle w:val="Caption"/>
        <w:jc w:val="center"/>
      </w:pPr>
      <w:bookmarkStart w:id="5" w:name="_Ref60921413"/>
      <w:bookmarkStart w:id="6" w:name="_Hlk61354178"/>
      <w:r>
        <w:t xml:space="preserve">Figure </w:t>
      </w:r>
      <w:r>
        <w:fldChar w:fldCharType="begin"/>
      </w:r>
      <w:r>
        <w:instrText xml:space="preserve"> SEQ Figure \* ARABIC </w:instrText>
      </w:r>
      <w:r>
        <w:fldChar w:fldCharType="separate"/>
      </w:r>
      <w:r>
        <w:rPr>
          <w:noProof/>
        </w:rPr>
        <w:t>1</w:t>
      </w:r>
      <w:r>
        <w:fldChar w:fldCharType="end"/>
      </w:r>
      <w:bookmarkEnd w:id="5"/>
      <w:r>
        <w:t xml:space="preserve">: Extrapolated </w:t>
      </w:r>
      <m:oMath>
        <m:sSubSup>
          <m:sSubSupPr>
            <m:ctrlPr>
              <w:rPr>
                <w:rFonts w:ascii="Cambria Math" w:hAnsi="Cambria Math"/>
                <w:i/>
                <w:iCs/>
                <w:lang w:eastAsia="zh-CN"/>
              </w:rPr>
            </m:ctrlPr>
          </m:sSubSupPr>
          <m:e>
            <m:r>
              <m:rPr>
                <m:sty m:val="bi"/>
              </m:rPr>
              <w:rPr>
                <w:rFonts w:ascii="Cambria Math" w:hAnsi="Cambria Math"/>
              </w:rPr>
              <m:t>N</m:t>
            </m:r>
          </m:e>
          <m:sub>
            <m:r>
              <m:rPr>
                <m:sty m:val="b"/>
              </m:rPr>
              <w:rPr>
                <w:rFonts w:ascii="Cambria Math" w:hAnsi="Cambria Math"/>
              </w:rPr>
              <m:t>BD</m:t>
            </m:r>
          </m:sub>
          <m:sup>
            <m:r>
              <m:rPr>
                <m:sty m:val="b"/>
              </m:rPr>
              <w:rPr>
                <w:rFonts w:ascii="Cambria Math" w:hAnsi="Cambria Math"/>
              </w:rPr>
              <m:t>slot</m:t>
            </m:r>
          </m:sup>
        </m:sSubSup>
      </m:oMath>
      <w:r w:rsidRPr="000E4B12">
        <w:rPr>
          <w:rFonts w:cs="Arial"/>
        </w:rPr>
        <w:t xml:space="preserve"> and </w:t>
      </w:r>
      <m:oMath>
        <m:sSubSup>
          <m:sSubSupPr>
            <m:ctrlPr>
              <w:rPr>
                <w:rFonts w:ascii="Cambria Math" w:hAnsi="Cambria Math"/>
                <w:i/>
                <w:iCs/>
                <w:lang w:eastAsia="zh-CN"/>
              </w:rPr>
            </m:ctrlPr>
          </m:sSubSupPr>
          <m:e>
            <m:r>
              <m:rPr>
                <m:sty m:val="bi"/>
              </m:rPr>
              <w:rPr>
                <w:rFonts w:ascii="Cambria Math" w:hAnsi="Cambria Math"/>
              </w:rPr>
              <m:t>N</m:t>
            </m:r>
          </m:e>
          <m:sub>
            <m:r>
              <m:rPr>
                <m:sty m:val="b"/>
              </m:rPr>
              <w:rPr>
                <w:rFonts w:ascii="Cambria Math" w:hAnsi="Cambria Math"/>
              </w:rPr>
              <m:t>CCE</m:t>
            </m:r>
          </m:sub>
          <m:sup>
            <m:r>
              <m:rPr>
                <m:sty m:val="b"/>
              </m:rPr>
              <w:rPr>
                <w:rFonts w:ascii="Cambria Math" w:hAnsi="Cambria Math"/>
              </w:rPr>
              <m:t>slot</m:t>
            </m:r>
          </m:sup>
        </m:sSubSup>
      </m:oMath>
      <w:r w:rsidRPr="000E4B12">
        <w:rPr>
          <w:rFonts w:cs="Arial"/>
          <w:iCs/>
        </w:rPr>
        <w:t xml:space="preserve"> </w:t>
      </w:r>
      <w:r w:rsidRPr="000E4B12">
        <w:rPr>
          <w:rFonts w:cs="Arial"/>
        </w:rPr>
        <w:t>values per slot</w:t>
      </w:r>
    </w:p>
    <w:bookmarkEnd w:id="6"/>
    <w:p w14:paraId="1481CFAC" w14:textId="77777777" w:rsidR="00F91CFE" w:rsidRPr="00B04ED4" w:rsidRDefault="00F91CFE" w:rsidP="00F91CFE">
      <w:pPr>
        <w:pStyle w:val="BodyText"/>
        <w:jc w:val="center"/>
      </w:pPr>
    </w:p>
    <w:p w14:paraId="05021280" w14:textId="664C00C8" w:rsidR="007B61E3" w:rsidRDefault="004A5C69" w:rsidP="00DD0F21">
      <w:pPr>
        <w:pStyle w:val="BodyText"/>
      </w:pPr>
      <w:r w:rsidRPr="00295441">
        <w:t>The e</w:t>
      </w:r>
      <w:r w:rsidR="00C4786E" w:rsidRPr="00295441">
        <w:t>xtrapolat</w:t>
      </w:r>
      <w:r w:rsidRPr="00295441">
        <w:t xml:space="preserve">ed </w:t>
      </w:r>
      <w:r w:rsidR="0064550B" w:rsidRPr="00295441">
        <w:t xml:space="preserve">UE PDCCH processing capabilities </w:t>
      </w:r>
      <w:r w:rsidR="00F91CFE">
        <w:t xml:space="preserve">in </w:t>
      </w:r>
      <w:r w:rsidR="00F91CFE">
        <w:fldChar w:fldCharType="begin"/>
      </w:r>
      <w:r w:rsidR="00F91CFE">
        <w:instrText xml:space="preserve"> REF _Ref60921413 \h </w:instrText>
      </w:r>
      <w:r w:rsidR="00F91CFE">
        <w:fldChar w:fldCharType="separate"/>
      </w:r>
      <w:r w:rsidR="00F91CFE">
        <w:t xml:space="preserve">Figure </w:t>
      </w:r>
      <w:r w:rsidR="00F91CFE">
        <w:rPr>
          <w:noProof/>
        </w:rPr>
        <w:t>1</w:t>
      </w:r>
      <w:r w:rsidR="00F91CFE">
        <w:fldChar w:fldCharType="end"/>
      </w:r>
      <w:r w:rsidR="00F91CFE">
        <w:t xml:space="preserve"> </w:t>
      </w:r>
      <w:r w:rsidR="0064550B" w:rsidRPr="00295441">
        <w:t xml:space="preserve">are </w:t>
      </w:r>
      <w:r w:rsidR="00B24670">
        <w:t>tabulated in</w:t>
      </w:r>
      <w:r w:rsidR="0064550B" w:rsidRPr="00295441">
        <w:t xml:space="preserve"> </w:t>
      </w:r>
      <w:r w:rsidR="0064550B" w:rsidRPr="00295441">
        <w:fldChar w:fldCharType="begin"/>
      </w:r>
      <w:r w:rsidR="0064550B" w:rsidRPr="00295441">
        <w:instrText xml:space="preserve"> REF _Ref60824877 \h </w:instrText>
      </w:r>
      <w:r w:rsidR="00295441" w:rsidRPr="00295441">
        <w:instrText xml:space="preserve"> \* MERGEFORMAT </w:instrText>
      </w:r>
      <w:r w:rsidR="0064550B" w:rsidRPr="00295441">
        <w:fldChar w:fldCharType="separate"/>
      </w:r>
      <w:r w:rsidR="005363A7">
        <w:t xml:space="preserve">Table </w:t>
      </w:r>
      <w:r w:rsidR="005363A7">
        <w:rPr>
          <w:noProof/>
        </w:rPr>
        <w:t>1</w:t>
      </w:r>
      <w:r w:rsidR="0064550B" w:rsidRPr="00295441">
        <w:fldChar w:fldCharType="end"/>
      </w:r>
      <w:r w:rsidR="00B24670">
        <w:t xml:space="preserve"> as a function of SCS</w:t>
      </w:r>
      <w:r w:rsidR="0064550B" w:rsidRPr="00295441">
        <w:t xml:space="preserve">. The </w:t>
      </w:r>
      <w:r w:rsidR="00C4786E" w:rsidRPr="00295441">
        <w:t>numbers</w:t>
      </w:r>
      <w:r w:rsidR="0064550B" w:rsidRPr="00295441">
        <w:t xml:space="preserve"> indicate</w:t>
      </w:r>
      <w:r w:rsidR="00C4786E" w:rsidRPr="00295441">
        <w:t xml:space="preserve"> there </w:t>
      </w:r>
      <w:r w:rsidR="0064550B" w:rsidRPr="00295441">
        <w:t xml:space="preserve">may be </w:t>
      </w:r>
      <w:r w:rsidR="00C4786E" w:rsidRPr="00295441">
        <w:t xml:space="preserve">doubts on whether the UE operating with a SCS such as 960 kHz SCS can support even one AL-16 PDCCH </w:t>
      </w:r>
      <w:r w:rsidR="0056639F">
        <w:t xml:space="preserve">considering the need to configure </w:t>
      </w:r>
      <w:proofErr w:type="gramStart"/>
      <w:r w:rsidR="0056639F">
        <w:t xml:space="preserve">a </w:t>
      </w:r>
      <w:r w:rsidR="00F91CFE">
        <w:t>number</w:t>
      </w:r>
      <w:r w:rsidR="0056639F">
        <w:t xml:space="preserve"> of</w:t>
      </w:r>
      <w:proofErr w:type="gramEnd"/>
      <w:r w:rsidR="0056639F">
        <w:t xml:space="preserve"> common and UE specific search spaces with various aggregation levels</w:t>
      </w:r>
      <w:r w:rsidR="007B61E3">
        <w:t>.</w:t>
      </w:r>
    </w:p>
    <w:p w14:paraId="38861AF9" w14:textId="2B841409" w:rsidR="00F91CFE" w:rsidRPr="000E4B12" w:rsidRDefault="00F91CFE" w:rsidP="00F91CFE">
      <w:pPr>
        <w:pStyle w:val="Caption"/>
        <w:jc w:val="center"/>
        <w:rPr>
          <w:rFonts w:cs="Arial"/>
          <w:b w:val="0"/>
        </w:rPr>
      </w:pPr>
      <w:bookmarkStart w:id="7" w:name="_Ref60824877"/>
      <w:r w:rsidRPr="00F91CFE">
        <w:lastRenderedPageBreak/>
        <w:t xml:space="preserve"> </w:t>
      </w:r>
      <w:r>
        <w:t xml:space="preserve">Table </w:t>
      </w:r>
      <w:r>
        <w:fldChar w:fldCharType="begin"/>
      </w:r>
      <w:r>
        <w:instrText xml:space="preserve"> SEQ Table \* ARABIC </w:instrText>
      </w:r>
      <w:r>
        <w:fldChar w:fldCharType="separate"/>
      </w:r>
      <w:r>
        <w:rPr>
          <w:noProof/>
        </w:rPr>
        <w:t>1</w:t>
      </w:r>
      <w:r>
        <w:fldChar w:fldCharType="end"/>
      </w:r>
      <w:bookmarkEnd w:id="7"/>
      <w:r w:rsidRPr="000E4B12">
        <w:rPr>
          <w:rFonts w:cs="Arial"/>
        </w:rPr>
        <w:t xml:space="preserve">: Extrapolated </w:t>
      </w:r>
      <m:oMath>
        <m:sSubSup>
          <m:sSubSupPr>
            <m:ctrlPr>
              <w:rPr>
                <w:rFonts w:ascii="Cambria Math" w:hAnsi="Cambria Math"/>
                <w:i/>
                <w:iCs/>
                <w:lang w:eastAsia="zh-CN"/>
              </w:rPr>
            </m:ctrlPr>
          </m:sSubSupPr>
          <m:e>
            <m:r>
              <m:rPr>
                <m:sty m:val="bi"/>
              </m:rPr>
              <w:rPr>
                <w:rFonts w:ascii="Cambria Math" w:hAnsi="Cambria Math"/>
              </w:rPr>
              <m:t>N</m:t>
            </m:r>
          </m:e>
          <m:sub>
            <m:r>
              <m:rPr>
                <m:sty m:val="b"/>
              </m:rPr>
              <w:rPr>
                <w:rFonts w:ascii="Cambria Math" w:hAnsi="Cambria Math"/>
              </w:rPr>
              <m:t>BD</m:t>
            </m:r>
          </m:sub>
          <m:sup>
            <m:r>
              <m:rPr>
                <m:sty m:val="b"/>
              </m:rPr>
              <w:rPr>
                <w:rFonts w:ascii="Cambria Math" w:hAnsi="Cambria Math"/>
              </w:rPr>
              <m:t>slot</m:t>
            </m:r>
          </m:sup>
        </m:sSubSup>
      </m:oMath>
      <w:r w:rsidRPr="000E4B12">
        <w:rPr>
          <w:rFonts w:cs="Arial"/>
        </w:rPr>
        <w:t xml:space="preserve"> and </w:t>
      </w:r>
      <m:oMath>
        <m:sSubSup>
          <m:sSubSupPr>
            <m:ctrlPr>
              <w:rPr>
                <w:rFonts w:ascii="Cambria Math" w:hAnsi="Cambria Math"/>
                <w:i/>
                <w:iCs/>
                <w:lang w:eastAsia="zh-CN"/>
              </w:rPr>
            </m:ctrlPr>
          </m:sSubSupPr>
          <m:e>
            <m:r>
              <m:rPr>
                <m:sty m:val="bi"/>
              </m:rPr>
              <w:rPr>
                <w:rFonts w:ascii="Cambria Math" w:hAnsi="Cambria Math"/>
              </w:rPr>
              <m:t>N</m:t>
            </m:r>
          </m:e>
          <m:sub>
            <m:r>
              <m:rPr>
                <m:sty m:val="b"/>
              </m:rPr>
              <w:rPr>
                <w:rFonts w:ascii="Cambria Math" w:hAnsi="Cambria Math"/>
              </w:rPr>
              <m:t>CCE</m:t>
            </m:r>
          </m:sub>
          <m:sup>
            <m:r>
              <m:rPr>
                <m:sty m:val="b"/>
              </m:rPr>
              <w:rPr>
                <w:rFonts w:ascii="Cambria Math" w:hAnsi="Cambria Math"/>
              </w:rPr>
              <m:t>slot</m:t>
            </m:r>
          </m:sup>
        </m:sSubSup>
      </m:oMath>
      <w:r w:rsidRPr="000E4B12">
        <w:rPr>
          <w:rFonts w:cs="Arial"/>
          <w:iCs/>
        </w:rPr>
        <w:t xml:space="preserve"> </w:t>
      </w:r>
      <w:r w:rsidRPr="000E4B12">
        <w:rPr>
          <w:rFonts w:cs="Arial"/>
        </w:rPr>
        <w:t>values per slot</w:t>
      </w:r>
    </w:p>
    <w:tbl>
      <w:tblPr>
        <w:tblW w:w="7624" w:type="dxa"/>
        <w:tblInd w:w="895" w:type="dxa"/>
        <w:tblLayout w:type="fixed"/>
        <w:tblLook w:val="04A0" w:firstRow="1" w:lastRow="0" w:firstColumn="1" w:lastColumn="0" w:noHBand="0" w:noVBand="1"/>
      </w:tblPr>
      <w:tblGrid>
        <w:gridCol w:w="1530"/>
        <w:gridCol w:w="1015"/>
        <w:gridCol w:w="1016"/>
        <w:gridCol w:w="1016"/>
        <w:gridCol w:w="1015"/>
        <w:gridCol w:w="1016"/>
        <w:gridCol w:w="1016"/>
      </w:tblGrid>
      <w:tr w:rsidR="00F91CFE" w:rsidRPr="000E4B12" w14:paraId="2B4BA456" w14:textId="77777777" w:rsidTr="00F91CFE">
        <w:trPr>
          <w:trHeight w:val="52"/>
        </w:trPr>
        <w:tc>
          <w:tcPr>
            <w:tcW w:w="1530" w:type="dxa"/>
            <w:tcBorders>
              <w:top w:val="single" w:sz="4" w:space="0" w:color="auto"/>
              <w:left w:val="single" w:sz="4" w:space="0" w:color="auto"/>
              <w:bottom w:val="double" w:sz="4" w:space="0" w:color="auto"/>
              <w:right w:val="double" w:sz="4" w:space="0" w:color="auto"/>
            </w:tcBorders>
            <w:vAlign w:val="center"/>
            <w:hideMark/>
          </w:tcPr>
          <w:p w14:paraId="0BC5830C" w14:textId="77777777" w:rsidR="00F91CFE" w:rsidRPr="000E4B12" w:rsidRDefault="00F91CFE" w:rsidP="00F91CFE">
            <w:pPr>
              <w:spacing w:before="40" w:after="40"/>
              <w:jc w:val="center"/>
              <w:rPr>
                <w:lang w:eastAsia="zh-CN"/>
              </w:rPr>
            </w:pPr>
            <w:r w:rsidRPr="000E4B12">
              <w:rPr>
                <w:lang w:eastAsia="zh-CN"/>
              </w:rPr>
              <w:t>SCS [kHz]</w:t>
            </w:r>
          </w:p>
        </w:tc>
        <w:tc>
          <w:tcPr>
            <w:tcW w:w="1015" w:type="dxa"/>
            <w:tcBorders>
              <w:top w:val="single" w:sz="4" w:space="0" w:color="auto"/>
              <w:left w:val="double" w:sz="4" w:space="0" w:color="auto"/>
              <w:bottom w:val="double" w:sz="4" w:space="0" w:color="auto"/>
              <w:right w:val="single" w:sz="4" w:space="0" w:color="auto"/>
            </w:tcBorders>
            <w:vAlign w:val="center"/>
            <w:hideMark/>
          </w:tcPr>
          <w:p w14:paraId="33412CDD" w14:textId="77777777" w:rsidR="00F91CFE" w:rsidRPr="000E4B12" w:rsidRDefault="00F91CFE" w:rsidP="00F91CFE">
            <w:pPr>
              <w:spacing w:before="40" w:after="40"/>
              <w:jc w:val="center"/>
              <w:rPr>
                <w:lang w:val="en-GB" w:eastAsia="zh-CN"/>
              </w:rPr>
            </w:pPr>
            <w:r w:rsidRPr="000E4B12">
              <w:rPr>
                <w:lang w:val="en-GB" w:eastAsia="zh-CN"/>
              </w:rPr>
              <w:t>15</w:t>
            </w:r>
          </w:p>
        </w:tc>
        <w:tc>
          <w:tcPr>
            <w:tcW w:w="1016" w:type="dxa"/>
            <w:tcBorders>
              <w:top w:val="single" w:sz="4" w:space="0" w:color="auto"/>
              <w:left w:val="single" w:sz="4" w:space="0" w:color="auto"/>
              <w:bottom w:val="double" w:sz="4" w:space="0" w:color="auto"/>
              <w:right w:val="single" w:sz="4" w:space="0" w:color="auto"/>
            </w:tcBorders>
            <w:vAlign w:val="center"/>
            <w:hideMark/>
          </w:tcPr>
          <w:p w14:paraId="6662FB64" w14:textId="77777777" w:rsidR="00F91CFE" w:rsidRPr="000E4B12" w:rsidRDefault="00F91CFE" w:rsidP="00F91CFE">
            <w:pPr>
              <w:spacing w:before="40" w:after="40"/>
              <w:jc w:val="center"/>
              <w:rPr>
                <w:lang w:val="en-GB" w:eastAsia="zh-CN"/>
              </w:rPr>
            </w:pPr>
            <w:r w:rsidRPr="000E4B12">
              <w:rPr>
                <w:lang w:val="en-GB" w:eastAsia="zh-CN"/>
              </w:rPr>
              <w:t>30</w:t>
            </w:r>
          </w:p>
        </w:tc>
        <w:tc>
          <w:tcPr>
            <w:tcW w:w="1016" w:type="dxa"/>
            <w:tcBorders>
              <w:top w:val="single" w:sz="4" w:space="0" w:color="auto"/>
              <w:left w:val="single" w:sz="4" w:space="0" w:color="auto"/>
              <w:bottom w:val="double" w:sz="4" w:space="0" w:color="auto"/>
              <w:right w:val="single" w:sz="4" w:space="0" w:color="auto"/>
            </w:tcBorders>
            <w:vAlign w:val="center"/>
            <w:hideMark/>
          </w:tcPr>
          <w:p w14:paraId="7E5314C0" w14:textId="77777777" w:rsidR="00F91CFE" w:rsidRPr="000E4B12" w:rsidRDefault="00F91CFE" w:rsidP="00F91CFE">
            <w:pPr>
              <w:spacing w:before="40" w:after="40"/>
              <w:jc w:val="center"/>
              <w:rPr>
                <w:lang w:val="en-GB" w:eastAsia="zh-CN"/>
              </w:rPr>
            </w:pPr>
            <w:r w:rsidRPr="000E4B12">
              <w:rPr>
                <w:lang w:val="en-GB" w:eastAsia="zh-CN"/>
              </w:rPr>
              <w:t>60</w:t>
            </w:r>
          </w:p>
        </w:tc>
        <w:tc>
          <w:tcPr>
            <w:tcW w:w="1015" w:type="dxa"/>
            <w:tcBorders>
              <w:top w:val="single" w:sz="4" w:space="0" w:color="auto"/>
              <w:left w:val="single" w:sz="4" w:space="0" w:color="auto"/>
              <w:bottom w:val="double" w:sz="4" w:space="0" w:color="auto"/>
              <w:right w:val="single" w:sz="4" w:space="0" w:color="auto"/>
            </w:tcBorders>
            <w:vAlign w:val="center"/>
            <w:hideMark/>
          </w:tcPr>
          <w:p w14:paraId="544FF964" w14:textId="77777777" w:rsidR="00F91CFE" w:rsidRPr="000E4B12" w:rsidRDefault="00F91CFE" w:rsidP="00F91CFE">
            <w:pPr>
              <w:spacing w:before="40" w:after="40"/>
              <w:jc w:val="center"/>
              <w:rPr>
                <w:lang w:val="en-GB" w:eastAsia="zh-CN"/>
              </w:rPr>
            </w:pPr>
            <w:r w:rsidRPr="000E4B12">
              <w:rPr>
                <w:lang w:val="en-GB" w:eastAsia="zh-CN"/>
              </w:rPr>
              <w:t>120</w:t>
            </w:r>
          </w:p>
        </w:tc>
        <w:tc>
          <w:tcPr>
            <w:tcW w:w="1016" w:type="dxa"/>
            <w:tcBorders>
              <w:top w:val="single" w:sz="4" w:space="0" w:color="auto"/>
              <w:left w:val="single" w:sz="4" w:space="0" w:color="auto"/>
              <w:bottom w:val="double" w:sz="4" w:space="0" w:color="auto"/>
              <w:right w:val="single" w:sz="4" w:space="0" w:color="auto"/>
            </w:tcBorders>
            <w:vAlign w:val="center"/>
            <w:hideMark/>
          </w:tcPr>
          <w:p w14:paraId="1B1F640C" w14:textId="77777777" w:rsidR="00F91CFE" w:rsidRPr="00F91CFE" w:rsidRDefault="00F91CFE" w:rsidP="00F91CFE">
            <w:pPr>
              <w:spacing w:before="40" w:after="40"/>
              <w:jc w:val="center"/>
              <w:rPr>
                <w:color w:val="FF0000"/>
                <w:lang w:val="en-GB" w:eastAsia="zh-CN"/>
              </w:rPr>
            </w:pPr>
            <w:r w:rsidRPr="00F91CFE">
              <w:rPr>
                <w:color w:val="FF0000"/>
                <w:lang w:val="en-GB" w:eastAsia="zh-CN"/>
              </w:rPr>
              <w:t>480</w:t>
            </w:r>
          </w:p>
        </w:tc>
        <w:tc>
          <w:tcPr>
            <w:tcW w:w="1016" w:type="dxa"/>
            <w:tcBorders>
              <w:top w:val="single" w:sz="4" w:space="0" w:color="auto"/>
              <w:left w:val="single" w:sz="4" w:space="0" w:color="auto"/>
              <w:bottom w:val="double" w:sz="4" w:space="0" w:color="auto"/>
              <w:right w:val="single" w:sz="4" w:space="0" w:color="auto"/>
            </w:tcBorders>
            <w:vAlign w:val="center"/>
            <w:hideMark/>
          </w:tcPr>
          <w:p w14:paraId="1E4DD75C" w14:textId="77777777" w:rsidR="00F91CFE" w:rsidRPr="00F91CFE" w:rsidRDefault="00F91CFE" w:rsidP="00F91CFE">
            <w:pPr>
              <w:spacing w:before="40" w:after="40"/>
              <w:jc w:val="center"/>
              <w:rPr>
                <w:color w:val="FF0000"/>
                <w:lang w:val="en-GB" w:eastAsia="zh-CN"/>
              </w:rPr>
            </w:pPr>
            <w:r w:rsidRPr="00F91CFE">
              <w:rPr>
                <w:color w:val="FF0000"/>
                <w:lang w:val="en-GB" w:eastAsia="zh-CN"/>
              </w:rPr>
              <w:t>960</w:t>
            </w:r>
          </w:p>
        </w:tc>
      </w:tr>
      <w:tr w:rsidR="00F91CFE" w:rsidRPr="000E4B12" w14:paraId="73340D3F" w14:textId="77777777" w:rsidTr="00F91CFE">
        <w:trPr>
          <w:trHeight w:val="52"/>
        </w:trPr>
        <w:tc>
          <w:tcPr>
            <w:tcW w:w="1530" w:type="dxa"/>
            <w:tcBorders>
              <w:top w:val="double" w:sz="4" w:space="0" w:color="auto"/>
              <w:left w:val="single" w:sz="4" w:space="0" w:color="auto"/>
              <w:bottom w:val="single" w:sz="4" w:space="0" w:color="auto"/>
              <w:right w:val="double" w:sz="4" w:space="0" w:color="auto"/>
            </w:tcBorders>
            <w:vAlign w:val="center"/>
            <w:hideMark/>
          </w:tcPr>
          <w:p w14:paraId="0FEC4EC3" w14:textId="77777777" w:rsidR="00F91CFE" w:rsidRPr="000E4B12" w:rsidRDefault="009D54EF" w:rsidP="00F91CFE">
            <w:pPr>
              <w:spacing w:before="40" w:after="40"/>
              <w:jc w:val="center"/>
              <w:rPr>
                <w:lang w:eastAsia="zh-CN"/>
              </w:rPr>
            </w:pPr>
            <m:oMathPara>
              <m:oMath>
                <m:sSubSup>
                  <m:sSubSupPr>
                    <m:ctrlPr>
                      <w:rPr>
                        <w:rFonts w:ascii="Cambria Math" w:hAnsi="Cambria Math"/>
                        <w:i/>
                        <w:iCs/>
                        <w:lang w:eastAsia="zh-CN"/>
                      </w:rPr>
                    </m:ctrlPr>
                  </m:sSubSupPr>
                  <m:e>
                    <m:r>
                      <w:rPr>
                        <w:rFonts w:ascii="Cambria Math" w:hAnsi="Cambria Math"/>
                        <w:lang w:eastAsia="zh-CN"/>
                      </w:rPr>
                      <m:t>N</m:t>
                    </m:r>
                  </m:e>
                  <m:sub>
                    <m:r>
                      <m:rPr>
                        <m:sty m:val="p"/>
                      </m:rPr>
                      <w:rPr>
                        <w:rFonts w:ascii="Cambria Math" w:hAnsi="Cambria Math"/>
                        <w:lang w:eastAsia="zh-CN"/>
                      </w:rPr>
                      <m:t>BD,μ</m:t>
                    </m:r>
                  </m:sub>
                  <m:sup>
                    <m:r>
                      <m:rPr>
                        <m:sty m:val="p"/>
                      </m:rPr>
                      <w:rPr>
                        <w:rFonts w:ascii="Cambria Math" w:hAnsi="Cambria Math"/>
                        <w:lang w:eastAsia="zh-CN"/>
                      </w:rPr>
                      <m:t>slot</m:t>
                    </m:r>
                  </m:sup>
                </m:sSubSup>
              </m:oMath>
            </m:oMathPara>
          </w:p>
        </w:tc>
        <w:tc>
          <w:tcPr>
            <w:tcW w:w="1015" w:type="dxa"/>
            <w:tcBorders>
              <w:top w:val="double" w:sz="4" w:space="0" w:color="auto"/>
              <w:left w:val="double" w:sz="4" w:space="0" w:color="auto"/>
              <w:bottom w:val="single" w:sz="4" w:space="0" w:color="auto"/>
              <w:right w:val="single" w:sz="4" w:space="0" w:color="auto"/>
            </w:tcBorders>
            <w:vAlign w:val="bottom"/>
            <w:hideMark/>
          </w:tcPr>
          <w:p w14:paraId="7796484F" w14:textId="77777777" w:rsidR="00F91CFE" w:rsidRPr="000E4B12" w:rsidRDefault="00F91CFE" w:rsidP="00F91CFE">
            <w:pPr>
              <w:spacing w:before="40" w:after="40"/>
              <w:jc w:val="center"/>
              <w:rPr>
                <w:b/>
                <w:bCs/>
                <w:lang w:val="en-GB" w:eastAsia="zh-CN"/>
              </w:rPr>
            </w:pPr>
            <w:r w:rsidRPr="000E4B12">
              <w:rPr>
                <w:b/>
                <w:bCs/>
                <w:lang w:val="en-GB" w:eastAsia="zh-CN"/>
              </w:rPr>
              <w:t>44</w:t>
            </w:r>
          </w:p>
        </w:tc>
        <w:tc>
          <w:tcPr>
            <w:tcW w:w="1016" w:type="dxa"/>
            <w:tcBorders>
              <w:top w:val="double" w:sz="4" w:space="0" w:color="auto"/>
              <w:left w:val="single" w:sz="4" w:space="0" w:color="auto"/>
              <w:bottom w:val="single" w:sz="4" w:space="0" w:color="auto"/>
              <w:right w:val="single" w:sz="4" w:space="0" w:color="auto"/>
            </w:tcBorders>
            <w:vAlign w:val="bottom"/>
            <w:hideMark/>
          </w:tcPr>
          <w:p w14:paraId="5B60E4C0" w14:textId="77777777" w:rsidR="00F91CFE" w:rsidRPr="000E4B12" w:rsidRDefault="00F91CFE" w:rsidP="00F91CFE">
            <w:pPr>
              <w:spacing w:before="40" w:after="40"/>
              <w:jc w:val="center"/>
              <w:rPr>
                <w:b/>
                <w:bCs/>
                <w:lang w:val="en-GB" w:eastAsia="zh-CN"/>
              </w:rPr>
            </w:pPr>
            <w:r w:rsidRPr="000E4B12">
              <w:rPr>
                <w:b/>
                <w:bCs/>
                <w:lang w:val="en-GB" w:eastAsia="zh-CN"/>
              </w:rPr>
              <w:t>36</w:t>
            </w:r>
          </w:p>
        </w:tc>
        <w:tc>
          <w:tcPr>
            <w:tcW w:w="1016" w:type="dxa"/>
            <w:tcBorders>
              <w:top w:val="double" w:sz="4" w:space="0" w:color="auto"/>
              <w:left w:val="single" w:sz="4" w:space="0" w:color="auto"/>
              <w:bottom w:val="single" w:sz="4" w:space="0" w:color="auto"/>
              <w:right w:val="single" w:sz="4" w:space="0" w:color="auto"/>
            </w:tcBorders>
            <w:vAlign w:val="bottom"/>
            <w:hideMark/>
          </w:tcPr>
          <w:p w14:paraId="2F3482E0" w14:textId="77777777" w:rsidR="00F91CFE" w:rsidRPr="000E4B12" w:rsidRDefault="00F91CFE" w:rsidP="00F91CFE">
            <w:pPr>
              <w:spacing w:before="40" w:after="40"/>
              <w:jc w:val="center"/>
              <w:rPr>
                <w:b/>
                <w:bCs/>
                <w:lang w:val="en-GB" w:eastAsia="zh-CN"/>
              </w:rPr>
            </w:pPr>
            <w:r w:rsidRPr="000E4B12">
              <w:rPr>
                <w:b/>
                <w:bCs/>
                <w:lang w:val="en-GB" w:eastAsia="zh-CN"/>
              </w:rPr>
              <w:t>22</w:t>
            </w:r>
          </w:p>
        </w:tc>
        <w:tc>
          <w:tcPr>
            <w:tcW w:w="1015" w:type="dxa"/>
            <w:tcBorders>
              <w:top w:val="double" w:sz="4" w:space="0" w:color="auto"/>
              <w:left w:val="single" w:sz="4" w:space="0" w:color="auto"/>
              <w:bottom w:val="single" w:sz="4" w:space="0" w:color="auto"/>
              <w:right w:val="single" w:sz="4" w:space="0" w:color="auto"/>
            </w:tcBorders>
            <w:vAlign w:val="bottom"/>
            <w:hideMark/>
          </w:tcPr>
          <w:p w14:paraId="0C8D9F26" w14:textId="77777777" w:rsidR="00F91CFE" w:rsidRPr="000E4B12" w:rsidRDefault="00F91CFE" w:rsidP="00F91CFE">
            <w:pPr>
              <w:spacing w:before="40" w:after="40"/>
              <w:jc w:val="center"/>
              <w:rPr>
                <w:b/>
                <w:bCs/>
                <w:lang w:val="en-GB" w:eastAsia="zh-CN"/>
              </w:rPr>
            </w:pPr>
            <w:r w:rsidRPr="000E4B12">
              <w:rPr>
                <w:b/>
                <w:bCs/>
                <w:lang w:val="en-GB" w:eastAsia="zh-CN"/>
              </w:rPr>
              <w:t>20</w:t>
            </w:r>
          </w:p>
        </w:tc>
        <w:tc>
          <w:tcPr>
            <w:tcW w:w="1016" w:type="dxa"/>
            <w:tcBorders>
              <w:top w:val="double" w:sz="4" w:space="0" w:color="auto"/>
              <w:left w:val="single" w:sz="4" w:space="0" w:color="auto"/>
              <w:bottom w:val="single" w:sz="4" w:space="0" w:color="auto"/>
              <w:right w:val="single" w:sz="4" w:space="0" w:color="auto"/>
            </w:tcBorders>
            <w:vAlign w:val="bottom"/>
            <w:hideMark/>
          </w:tcPr>
          <w:p w14:paraId="301F2B21" w14:textId="77777777" w:rsidR="00F91CFE" w:rsidRPr="00F91CFE" w:rsidRDefault="00F91CFE" w:rsidP="00F91CFE">
            <w:pPr>
              <w:rPr>
                <w:rFonts w:ascii="Calibri" w:eastAsia="Calibri" w:hAnsi="Calibri" w:cs="Arial"/>
                <w:color w:val="FF0000"/>
              </w:rPr>
            </w:pPr>
          </w:p>
        </w:tc>
        <w:tc>
          <w:tcPr>
            <w:tcW w:w="1016" w:type="dxa"/>
            <w:tcBorders>
              <w:top w:val="double" w:sz="4" w:space="0" w:color="auto"/>
              <w:left w:val="single" w:sz="4" w:space="0" w:color="auto"/>
              <w:bottom w:val="single" w:sz="4" w:space="0" w:color="auto"/>
              <w:right w:val="single" w:sz="4" w:space="0" w:color="auto"/>
            </w:tcBorders>
            <w:vAlign w:val="bottom"/>
            <w:hideMark/>
          </w:tcPr>
          <w:p w14:paraId="36C65EEA" w14:textId="77777777" w:rsidR="00F91CFE" w:rsidRPr="00F91CFE" w:rsidRDefault="00F91CFE" w:rsidP="00F91CFE">
            <w:pPr>
              <w:rPr>
                <w:rFonts w:ascii="Calibri" w:eastAsia="Calibri" w:hAnsi="Calibri" w:cs="Arial"/>
                <w:color w:val="FF0000"/>
              </w:rPr>
            </w:pPr>
          </w:p>
        </w:tc>
      </w:tr>
      <w:tr w:rsidR="00F91CFE" w:rsidRPr="000E4B12" w14:paraId="572FDEE9" w14:textId="77777777" w:rsidTr="00F91CFE">
        <w:trPr>
          <w:trHeight w:val="52"/>
        </w:trPr>
        <w:tc>
          <w:tcPr>
            <w:tcW w:w="1530" w:type="dxa"/>
            <w:tcBorders>
              <w:top w:val="single" w:sz="4" w:space="0" w:color="auto"/>
              <w:left w:val="single" w:sz="4" w:space="0" w:color="auto"/>
              <w:bottom w:val="single" w:sz="4" w:space="0" w:color="auto"/>
              <w:right w:val="double" w:sz="4" w:space="0" w:color="auto"/>
            </w:tcBorders>
            <w:vAlign w:val="center"/>
            <w:hideMark/>
          </w:tcPr>
          <w:p w14:paraId="2EED2CB7" w14:textId="77777777" w:rsidR="00F91CFE" w:rsidRPr="000E4B12" w:rsidRDefault="00F91CFE" w:rsidP="00F91CFE">
            <w:pPr>
              <w:spacing w:before="40" w:after="40"/>
              <w:jc w:val="center"/>
              <w:rPr>
                <w:lang w:eastAsia="zh-CN"/>
              </w:rPr>
            </w:pPr>
            <w:r>
              <w:rPr>
                <w:lang w:eastAsia="zh-CN"/>
              </w:rPr>
              <w:t xml:space="preserve">BD </w:t>
            </w:r>
            <w:r w:rsidRPr="000E4B12">
              <w:rPr>
                <w:lang w:eastAsia="zh-CN"/>
              </w:rPr>
              <w:t>Estimate</w:t>
            </w:r>
          </w:p>
        </w:tc>
        <w:tc>
          <w:tcPr>
            <w:tcW w:w="1015" w:type="dxa"/>
            <w:tcBorders>
              <w:top w:val="single" w:sz="4" w:space="0" w:color="auto"/>
              <w:left w:val="double" w:sz="4" w:space="0" w:color="auto"/>
              <w:bottom w:val="single" w:sz="4" w:space="0" w:color="auto"/>
              <w:right w:val="single" w:sz="4" w:space="0" w:color="auto"/>
            </w:tcBorders>
            <w:vAlign w:val="bottom"/>
            <w:hideMark/>
          </w:tcPr>
          <w:p w14:paraId="5BD921A6" w14:textId="77777777" w:rsidR="00F91CFE" w:rsidRPr="000E4B12" w:rsidRDefault="00F91CFE" w:rsidP="00F91CFE">
            <w:pPr>
              <w:spacing w:before="40" w:after="40"/>
              <w:jc w:val="center"/>
              <w:rPr>
                <w:lang w:val="en-GB" w:eastAsia="zh-CN"/>
              </w:rPr>
            </w:pPr>
            <w:r w:rsidRPr="000E4B12">
              <w:rPr>
                <w:lang w:val="en-GB" w:eastAsia="zh-CN"/>
              </w:rPr>
              <w:t>44</w:t>
            </w:r>
          </w:p>
        </w:tc>
        <w:tc>
          <w:tcPr>
            <w:tcW w:w="1016" w:type="dxa"/>
            <w:tcBorders>
              <w:top w:val="single" w:sz="4" w:space="0" w:color="auto"/>
              <w:left w:val="single" w:sz="4" w:space="0" w:color="auto"/>
              <w:bottom w:val="single" w:sz="4" w:space="0" w:color="auto"/>
              <w:right w:val="single" w:sz="4" w:space="0" w:color="auto"/>
            </w:tcBorders>
            <w:vAlign w:val="bottom"/>
            <w:hideMark/>
          </w:tcPr>
          <w:p w14:paraId="33ECCDD9" w14:textId="77777777" w:rsidR="00F91CFE" w:rsidRPr="000E4B12" w:rsidRDefault="00F91CFE" w:rsidP="00F91CFE">
            <w:pPr>
              <w:spacing w:before="40" w:after="40"/>
              <w:jc w:val="center"/>
              <w:rPr>
                <w:lang w:val="en-GB" w:eastAsia="zh-CN"/>
              </w:rPr>
            </w:pPr>
            <w:r w:rsidRPr="000E4B12">
              <w:rPr>
                <w:lang w:val="en-GB" w:eastAsia="zh-CN"/>
              </w:rPr>
              <w:t>34</w:t>
            </w:r>
          </w:p>
        </w:tc>
        <w:tc>
          <w:tcPr>
            <w:tcW w:w="1016" w:type="dxa"/>
            <w:tcBorders>
              <w:top w:val="single" w:sz="4" w:space="0" w:color="auto"/>
              <w:left w:val="single" w:sz="4" w:space="0" w:color="auto"/>
              <w:bottom w:val="single" w:sz="4" w:space="0" w:color="auto"/>
              <w:right w:val="single" w:sz="4" w:space="0" w:color="auto"/>
            </w:tcBorders>
            <w:vAlign w:val="bottom"/>
            <w:hideMark/>
          </w:tcPr>
          <w:p w14:paraId="1EA1D0EE" w14:textId="77777777" w:rsidR="00F91CFE" w:rsidRPr="000E4B12" w:rsidRDefault="00F91CFE" w:rsidP="00F91CFE">
            <w:pPr>
              <w:spacing w:before="40" w:after="40"/>
              <w:jc w:val="center"/>
              <w:rPr>
                <w:lang w:val="en-GB" w:eastAsia="zh-CN"/>
              </w:rPr>
            </w:pPr>
            <w:r w:rsidRPr="000E4B12">
              <w:rPr>
                <w:lang w:val="en-GB" w:eastAsia="zh-CN"/>
              </w:rPr>
              <w:t>26</w:t>
            </w:r>
          </w:p>
        </w:tc>
        <w:tc>
          <w:tcPr>
            <w:tcW w:w="1015" w:type="dxa"/>
            <w:tcBorders>
              <w:top w:val="single" w:sz="4" w:space="0" w:color="auto"/>
              <w:left w:val="single" w:sz="4" w:space="0" w:color="auto"/>
              <w:bottom w:val="single" w:sz="4" w:space="0" w:color="auto"/>
              <w:right w:val="single" w:sz="4" w:space="0" w:color="auto"/>
            </w:tcBorders>
            <w:vAlign w:val="bottom"/>
            <w:hideMark/>
          </w:tcPr>
          <w:p w14:paraId="40D8FECC" w14:textId="77777777" w:rsidR="00F91CFE" w:rsidRPr="000E4B12" w:rsidRDefault="00F91CFE" w:rsidP="00F91CFE">
            <w:pPr>
              <w:spacing w:before="40" w:after="40"/>
              <w:jc w:val="center"/>
              <w:rPr>
                <w:lang w:val="en-GB" w:eastAsia="zh-CN"/>
              </w:rPr>
            </w:pPr>
            <w:r w:rsidRPr="000E4B12">
              <w:rPr>
                <w:lang w:val="en-GB" w:eastAsia="zh-CN"/>
              </w:rPr>
              <w:t>20</w:t>
            </w:r>
          </w:p>
        </w:tc>
        <w:tc>
          <w:tcPr>
            <w:tcW w:w="1016" w:type="dxa"/>
            <w:tcBorders>
              <w:top w:val="single" w:sz="4" w:space="0" w:color="auto"/>
              <w:left w:val="single" w:sz="4" w:space="0" w:color="auto"/>
              <w:bottom w:val="single" w:sz="4" w:space="0" w:color="auto"/>
              <w:right w:val="single" w:sz="4" w:space="0" w:color="auto"/>
            </w:tcBorders>
            <w:vAlign w:val="bottom"/>
            <w:hideMark/>
          </w:tcPr>
          <w:p w14:paraId="5FB3A4C2" w14:textId="77777777" w:rsidR="00F91CFE" w:rsidRPr="00F91CFE" w:rsidRDefault="00F91CFE" w:rsidP="00F91CFE">
            <w:pPr>
              <w:spacing w:before="40" w:after="40"/>
              <w:jc w:val="center"/>
              <w:rPr>
                <w:color w:val="FF0000"/>
                <w:lang w:val="en-GB" w:eastAsia="zh-CN"/>
              </w:rPr>
            </w:pPr>
            <w:r w:rsidRPr="00F91CFE">
              <w:rPr>
                <w:color w:val="FF0000"/>
                <w:lang w:val="en-GB" w:eastAsia="zh-CN"/>
              </w:rPr>
              <w:t>12</w:t>
            </w:r>
          </w:p>
        </w:tc>
        <w:tc>
          <w:tcPr>
            <w:tcW w:w="1016" w:type="dxa"/>
            <w:tcBorders>
              <w:top w:val="single" w:sz="4" w:space="0" w:color="auto"/>
              <w:left w:val="single" w:sz="4" w:space="0" w:color="auto"/>
              <w:bottom w:val="single" w:sz="4" w:space="0" w:color="auto"/>
              <w:right w:val="single" w:sz="4" w:space="0" w:color="auto"/>
            </w:tcBorders>
            <w:vAlign w:val="bottom"/>
            <w:hideMark/>
          </w:tcPr>
          <w:p w14:paraId="09C49FB7" w14:textId="77777777" w:rsidR="00F91CFE" w:rsidRPr="00F91CFE" w:rsidRDefault="00F91CFE" w:rsidP="00F91CFE">
            <w:pPr>
              <w:spacing w:before="40" w:after="40"/>
              <w:jc w:val="center"/>
              <w:rPr>
                <w:color w:val="FF0000"/>
                <w:lang w:val="en-GB" w:eastAsia="zh-CN"/>
              </w:rPr>
            </w:pPr>
            <w:r w:rsidRPr="00F91CFE">
              <w:rPr>
                <w:color w:val="FF0000"/>
                <w:lang w:val="en-GB" w:eastAsia="zh-CN"/>
              </w:rPr>
              <w:t>9</w:t>
            </w:r>
          </w:p>
        </w:tc>
      </w:tr>
      <w:tr w:rsidR="00F91CFE" w:rsidRPr="000E4B12" w14:paraId="030D21D1" w14:textId="77777777" w:rsidTr="00F91CFE">
        <w:trPr>
          <w:trHeight w:val="52"/>
        </w:trPr>
        <w:tc>
          <w:tcPr>
            <w:tcW w:w="1530" w:type="dxa"/>
            <w:tcBorders>
              <w:top w:val="single" w:sz="4" w:space="0" w:color="auto"/>
            </w:tcBorders>
            <w:vAlign w:val="center"/>
          </w:tcPr>
          <w:p w14:paraId="628769A8" w14:textId="77777777" w:rsidR="00F91CFE" w:rsidRPr="000E4B12" w:rsidRDefault="00F91CFE" w:rsidP="00F91CFE">
            <w:pPr>
              <w:spacing w:before="40" w:after="40"/>
              <w:jc w:val="center"/>
              <w:rPr>
                <w:sz w:val="4"/>
                <w:szCs w:val="4"/>
                <w:lang w:eastAsia="zh-CN"/>
              </w:rPr>
            </w:pPr>
          </w:p>
        </w:tc>
        <w:tc>
          <w:tcPr>
            <w:tcW w:w="1015" w:type="dxa"/>
            <w:vAlign w:val="bottom"/>
          </w:tcPr>
          <w:p w14:paraId="7FED4A23" w14:textId="77777777" w:rsidR="00F91CFE" w:rsidRPr="000E4B12" w:rsidRDefault="00F91CFE" w:rsidP="00F91CFE">
            <w:pPr>
              <w:spacing w:before="40" w:after="40"/>
              <w:jc w:val="center"/>
              <w:rPr>
                <w:sz w:val="4"/>
                <w:szCs w:val="4"/>
                <w:lang w:val="en-GB" w:eastAsia="zh-CN"/>
              </w:rPr>
            </w:pPr>
          </w:p>
        </w:tc>
        <w:tc>
          <w:tcPr>
            <w:tcW w:w="1016" w:type="dxa"/>
            <w:vAlign w:val="bottom"/>
          </w:tcPr>
          <w:p w14:paraId="4D42276F" w14:textId="77777777" w:rsidR="00F91CFE" w:rsidRPr="000E4B12" w:rsidRDefault="00F91CFE" w:rsidP="00F91CFE">
            <w:pPr>
              <w:spacing w:before="40" w:after="40"/>
              <w:jc w:val="center"/>
              <w:rPr>
                <w:sz w:val="4"/>
                <w:szCs w:val="4"/>
                <w:lang w:val="en-GB" w:eastAsia="zh-CN"/>
              </w:rPr>
            </w:pPr>
          </w:p>
        </w:tc>
        <w:tc>
          <w:tcPr>
            <w:tcW w:w="1016" w:type="dxa"/>
            <w:vAlign w:val="bottom"/>
          </w:tcPr>
          <w:p w14:paraId="7DEFBDF0" w14:textId="77777777" w:rsidR="00F91CFE" w:rsidRPr="000E4B12" w:rsidRDefault="00F91CFE" w:rsidP="00F91CFE">
            <w:pPr>
              <w:spacing w:before="40" w:after="40"/>
              <w:jc w:val="center"/>
              <w:rPr>
                <w:sz w:val="4"/>
                <w:szCs w:val="4"/>
                <w:lang w:val="en-GB" w:eastAsia="zh-CN"/>
              </w:rPr>
            </w:pPr>
          </w:p>
        </w:tc>
        <w:tc>
          <w:tcPr>
            <w:tcW w:w="1015" w:type="dxa"/>
            <w:vAlign w:val="bottom"/>
          </w:tcPr>
          <w:p w14:paraId="7156A09D" w14:textId="77777777" w:rsidR="00F91CFE" w:rsidRPr="000E4B12" w:rsidRDefault="00F91CFE" w:rsidP="00F91CFE">
            <w:pPr>
              <w:spacing w:before="40" w:after="40"/>
              <w:jc w:val="center"/>
              <w:rPr>
                <w:sz w:val="4"/>
                <w:szCs w:val="4"/>
                <w:lang w:val="en-GB" w:eastAsia="zh-CN"/>
              </w:rPr>
            </w:pPr>
          </w:p>
        </w:tc>
        <w:tc>
          <w:tcPr>
            <w:tcW w:w="1016" w:type="dxa"/>
            <w:vAlign w:val="bottom"/>
          </w:tcPr>
          <w:p w14:paraId="235C8DC4" w14:textId="77777777" w:rsidR="00F91CFE" w:rsidRPr="000E4B12" w:rsidRDefault="00F91CFE" w:rsidP="00F91CFE">
            <w:pPr>
              <w:spacing w:before="40" w:after="40"/>
              <w:jc w:val="center"/>
              <w:rPr>
                <w:sz w:val="4"/>
                <w:szCs w:val="4"/>
                <w:lang w:val="en-GB" w:eastAsia="zh-CN"/>
              </w:rPr>
            </w:pPr>
          </w:p>
        </w:tc>
        <w:tc>
          <w:tcPr>
            <w:tcW w:w="1016" w:type="dxa"/>
            <w:vAlign w:val="bottom"/>
          </w:tcPr>
          <w:p w14:paraId="30B74CE1" w14:textId="77777777" w:rsidR="00F91CFE" w:rsidRPr="000E4B12" w:rsidRDefault="00F91CFE" w:rsidP="00F91CFE">
            <w:pPr>
              <w:spacing w:before="40" w:after="40"/>
              <w:jc w:val="center"/>
              <w:rPr>
                <w:sz w:val="4"/>
                <w:szCs w:val="4"/>
                <w:lang w:val="en-GB" w:eastAsia="zh-CN"/>
              </w:rPr>
            </w:pPr>
          </w:p>
        </w:tc>
      </w:tr>
      <w:tr w:rsidR="00F91CFE" w:rsidRPr="000E4B12" w14:paraId="135ACFE7" w14:textId="77777777" w:rsidTr="00F91CFE">
        <w:trPr>
          <w:trHeight w:val="52"/>
        </w:trPr>
        <w:tc>
          <w:tcPr>
            <w:tcW w:w="1530" w:type="dxa"/>
            <w:tcBorders>
              <w:top w:val="single" w:sz="4" w:space="0" w:color="auto"/>
              <w:left w:val="single" w:sz="4" w:space="0" w:color="auto"/>
              <w:bottom w:val="double" w:sz="4" w:space="0" w:color="auto"/>
              <w:right w:val="double" w:sz="4" w:space="0" w:color="auto"/>
            </w:tcBorders>
            <w:vAlign w:val="center"/>
            <w:hideMark/>
          </w:tcPr>
          <w:p w14:paraId="29D70CBE" w14:textId="77777777" w:rsidR="00F91CFE" w:rsidRPr="000E4B12" w:rsidRDefault="00F91CFE" w:rsidP="00F91CFE">
            <w:pPr>
              <w:spacing w:before="40" w:after="40"/>
              <w:jc w:val="center"/>
              <w:rPr>
                <w:lang w:eastAsia="zh-CN"/>
              </w:rPr>
            </w:pPr>
            <w:r w:rsidRPr="000E4B12">
              <w:rPr>
                <w:lang w:eastAsia="zh-CN"/>
              </w:rPr>
              <w:t>SCS [kHz]</w:t>
            </w:r>
          </w:p>
        </w:tc>
        <w:tc>
          <w:tcPr>
            <w:tcW w:w="2031" w:type="dxa"/>
            <w:gridSpan w:val="2"/>
            <w:tcBorders>
              <w:top w:val="single" w:sz="4" w:space="0" w:color="auto"/>
              <w:left w:val="double" w:sz="4" w:space="0" w:color="auto"/>
              <w:bottom w:val="double" w:sz="4" w:space="0" w:color="auto"/>
              <w:right w:val="single" w:sz="4" w:space="0" w:color="auto"/>
            </w:tcBorders>
            <w:vAlign w:val="center"/>
            <w:hideMark/>
          </w:tcPr>
          <w:p w14:paraId="3A10A93F" w14:textId="41DC9923" w:rsidR="00F91CFE" w:rsidRPr="000E4B12" w:rsidRDefault="00F91CFE" w:rsidP="00F91CFE">
            <w:pPr>
              <w:spacing w:before="40" w:after="40"/>
              <w:jc w:val="center"/>
              <w:rPr>
                <w:lang w:val="en-GB" w:eastAsia="zh-CN"/>
              </w:rPr>
            </w:pPr>
            <w:r w:rsidRPr="000E4B12">
              <w:rPr>
                <w:lang w:val="en-GB" w:eastAsia="zh-CN"/>
              </w:rPr>
              <w:t>15*2</w:t>
            </w:r>
            <w:r w:rsidRPr="000E4B12">
              <w:rPr>
                <w:vertAlign w:val="superscript"/>
                <w:lang w:val="en-GB" w:eastAsia="zh-CN"/>
              </w:rPr>
              <w:t>0.5</w:t>
            </w:r>
            <w:r>
              <w:rPr>
                <w:lang w:val="en-GB" w:eastAsia="zh-CN"/>
              </w:rPr>
              <w:t xml:space="preserve"> (Nominal, used for fitting)</w:t>
            </w:r>
          </w:p>
        </w:tc>
        <w:tc>
          <w:tcPr>
            <w:tcW w:w="1016" w:type="dxa"/>
            <w:tcBorders>
              <w:top w:val="single" w:sz="4" w:space="0" w:color="auto"/>
              <w:left w:val="single" w:sz="4" w:space="0" w:color="auto"/>
              <w:bottom w:val="double" w:sz="4" w:space="0" w:color="auto"/>
              <w:right w:val="single" w:sz="4" w:space="0" w:color="auto"/>
            </w:tcBorders>
            <w:vAlign w:val="center"/>
            <w:hideMark/>
          </w:tcPr>
          <w:p w14:paraId="2C39A6A9" w14:textId="77777777" w:rsidR="00F91CFE" w:rsidRPr="000E4B12" w:rsidRDefault="00F91CFE" w:rsidP="00F91CFE">
            <w:pPr>
              <w:spacing w:before="40" w:after="40"/>
              <w:jc w:val="center"/>
              <w:rPr>
                <w:lang w:val="en-GB" w:eastAsia="zh-CN"/>
              </w:rPr>
            </w:pPr>
            <w:r w:rsidRPr="000E4B12">
              <w:rPr>
                <w:lang w:val="en-GB" w:eastAsia="zh-CN"/>
              </w:rPr>
              <w:t>60</w:t>
            </w:r>
          </w:p>
        </w:tc>
        <w:tc>
          <w:tcPr>
            <w:tcW w:w="1015" w:type="dxa"/>
            <w:tcBorders>
              <w:top w:val="single" w:sz="4" w:space="0" w:color="auto"/>
              <w:left w:val="single" w:sz="4" w:space="0" w:color="auto"/>
              <w:bottom w:val="double" w:sz="4" w:space="0" w:color="auto"/>
              <w:right w:val="single" w:sz="4" w:space="0" w:color="auto"/>
            </w:tcBorders>
            <w:vAlign w:val="center"/>
            <w:hideMark/>
          </w:tcPr>
          <w:p w14:paraId="3ABB73E4" w14:textId="77777777" w:rsidR="00F91CFE" w:rsidRPr="000E4B12" w:rsidRDefault="00F91CFE" w:rsidP="00F91CFE">
            <w:pPr>
              <w:spacing w:before="40" w:after="40"/>
              <w:jc w:val="center"/>
              <w:rPr>
                <w:lang w:val="en-GB" w:eastAsia="zh-CN"/>
              </w:rPr>
            </w:pPr>
            <w:r w:rsidRPr="000E4B12">
              <w:rPr>
                <w:lang w:val="en-GB" w:eastAsia="zh-CN"/>
              </w:rPr>
              <w:t>120</w:t>
            </w:r>
          </w:p>
        </w:tc>
        <w:tc>
          <w:tcPr>
            <w:tcW w:w="1016" w:type="dxa"/>
            <w:tcBorders>
              <w:top w:val="single" w:sz="4" w:space="0" w:color="auto"/>
              <w:left w:val="single" w:sz="4" w:space="0" w:color="auto"/>
              <w:bottom w:val="double" w:sz="4" w:space="0" w:color="auto"/>
              <w:right w:val="single" w:sz="4" w:space="0" w:color="auto"/>
            </w:tcBorders>
            <w:vAlign w:val="center"/>
            <w:hideMark/>
          </w:tcPr>
          <w:p w14:paraId="4459CB25" w14:textId="77777777" w:rsidR="00F91CFE" w:rsidRPr="00F91CFE" w:rsidRDefault="00F91CFE" w:rsidP="00F91CFE">
            <w:pPr>
              <w:spacing w:before="40" w:after="40"/>
              <w:jc w:val="center"/>
              <w:rPr>
                <w:color w:val="FF0000"/>
                <w:lang w:val="en-GB" w:eastAsia="zh-CN"/>
              </w:rPr>
            </w:pPr>
            <w:r w:rsidRPr="00F91CFE">
              <w:rPr>
                <w:color w:val="FF0000"/>
                <w:lang w:val="en-GB" w:eastAsia="zh-CN"/>
              </w:rPr>
              <w:t>480</w:t>
            </w:r>
          </w:p>
        </w:tc>
        <w:tc>
          <w:tcPr>
            <w:tcW w:w="1016" w:type="dxa"/>
            <w:tcBorders>
              <w:top w:val="single" w:sz="4" w:space="0" w:color="auto"/>
              <w:left w:val="single" w:sz="4" w:space="0" w:color="auto"/>
              <w:bottom w:val="double" w:sz="4" w:space="0" w:color="auto"/>
              <w:right w:val="single" w:sz="4" w:space="0" w:color="auto"/>
            </w:tcBorders>
            <w:vAlign w:val="center"/>
            <w:hideMark/>
          </w:tcPr>
          <w:p w14:paraId="43D311B3" w14:textId="77777777" w:rsidR="00F91CFE" w:rsidRPr="00F91CFE" w:rsidRDefault="00F91CFE" w:rsidP="00F91CFE">
            <w:pPr>
              <w:spacing w:before="40" w:after="40"/>
              <w:jc w:val="center"/>
              <w:rPr>
                <w:color w:val="FF0000"/>
                <w:lang w:val="en-GB" w:eastAsia="zh-CN"/>
              </w:rPr>
            </w:pPr>
            <w:r w:rsidRPr="00F91CFE">
              <w:rPr>
                <w:color w:val="FF0000"/>
                <w:lang w:val="en-GB" w:eastAsia="zh-CN"/>
              </w:rPr>
              <w:t>960</w:t>
            </w:r>
          </w:p>
        </w:tc>
      </w:tr>
      <w:tr w:rsidR="00F91CFE" w:rsidRPr="000E4B12" w14:paraId="54078BA0" w14:textId="77777777" w:rsidTr="00F91CFE">
        <w:trPr>
          <w:trHeight w:val="52"/>
        </w:trPr>
        <w:tc>
          <w:tcPr>
            <w:tcW w:w="1530" w:type="dxa"/>
            <w:tcBorders>
              <w:top w:val="single" w:sz="4" w:space="0" w:color="auto"/>
              <w:left w:val="single" w:sz="4" w:space="0" w:color="auto"/>
              <w:bottom w:val="single" w:sz="4" w:space="0" w:color="auto"/>
              <w:right w:val="double" w:sz="4" w:space="0" w:color="auto"/>
            </w:tcBorders>
            <w:vAlign w:val="center"/>
            <w:hideMark/>
          </w:tcPr>
          <w:p w14:paraId="1DE69C86" w14:textId="77777777" w:rsidR="00F91CFE" w:rsidRPr="000E4B12" w:rsidRDefault="009D54EF" w:rsidP="00F91CFE">
            <w:pPr>
              <w:spacing w:before="40" w:after="40"/>
              <w:jc w:val="center"/>
              <w:rPr>
                <w:lang w:val="de-DE" w:eastAsia="zh-CN"/>
              </w:rPr>
            </w:pPr>
            <m:oMathPara>
              <m:oMath>
                <m:sSubSup>
                  <m:sSubSupPr>
                    <m:ctrlPr>
                      <w:rPr>
                        <w:rFonts w:ascii="Cambria Math" w:hAnsi="Cambria Math"/>
                        <w:i/>
                        <w:iCs/>
                        <w:lang w:eastAsia="zh-CN"/>
                      </w:rPr>
                    </m:ctrlPr>
                  </m:sSubSupPr>
                  <m:e>
                    <m:r>
                      <w:rPr>
                        <w:rFonts w:ascii="Cambria Math" w:hAnsi="Cambria Math"/>
                        <w:lang w:val="de-DE" w:eastAsia="zh-CN"/>
                      </w:rPr>
                      <m:t>N</m:t>
                    </m:r>
                  </m:e>
                  <m:sub>
                    <m:r>
                      <m:rPr>
                        <m:sty m:val="p"/>
                      </m:rPr>
                      <w:rPr>
                        <w:rFonts w:ascii="Cambria Math" w:hAnsi="Cambria Math"/>
                        <w:lang w:val="de-DE" w:eastAsia="zh-CN"/>
                      </w:rPr>
                      <m:t>CCE,μ</m:t>
                    </m:r>
                  </m:sub>
                  <m:sup>
                    <m:r>
                      <m:rPr>
                        <m:sty m:val="p"/>
                      </m:rPr>
                      <w:rPr>
                        <w:rFonts w:ascii="Cambria Math" w:hAnsi="Cambria Math"/>
                        <w:lang w:val="de-DE" w:eastAsia="zh-CN"/>
                      </w:rPr>
                      <m:t>slot</m:t>
                    </m:r>
                  </m:sup>
                </m:sSubSup>
              </m:oMath>
            </m:oMathPara>
          </w:p>
        </w:tc>
        <w:tc>
          <w:tcPr>
            <w:tcW w:w="2031" w:type="dxa"/>
            <w:gridSpan w:val="2"/>
            <w:tcBorders>
              <w:top w:val="single" w:sz="4" w:space="0" w:color="auto"/>
              <w:left w:val="double" w:sz="4" w:space="0" w:color="auto"/>
              <w:bottom w:val="single" w:sz="4" w:space="0" w:color="auto"/>
              <w:right w:val="single" w:sz="4" w:space="0" w:color="auto"/>
            </w:tcBorders>
            <w:vAlign w:val="center"/>
            <w:hideMark/>
          </w:tcPr>
          <w:p w14:paraId="330F7EB9" w14:textId="77777777" w:rsidR="00F91CFE" w:rsidRPr="000E4B12" w:rsidRDefault="00F91CFE" w:rsidP="00F91CFE">
            <w:pPr>
              <w:spacing w:before="40" w:after="40"/>
              <w:jc w:val="center"/>
              <w:rPr>
                <w:b/>
                <w:bCs/>
                <w:lang w:val="en-GB" w:eastAsia="zh-CN"/>
              </w:rPr>
            </w:pPr>
            <w:r w:rsidRPr="000E4B12">
              <w:rPr>
                <w:b/>
                <w:bCs/>
                <w:lang w:val="en-GB" w:eastAsia="zh-CN"/>
              </w:rPr>
              <w:t>56</w:t>
            </w:r>
          </w:p>
        </w:tc>
        <w:tc>
          <w:tcPr>
            <w:tcW w:w="1016" w:type="dxa"/>
            <w:tcBorders>
              <w:top w:val="single" w:sz="4" w:space="0" w:color="auto"/>
              <w:left w:val="single" w:sz="4" w:space="0" w:color="auto"/>
              <w:bottom w:val="single" w:sz="4" w:space="0" w:color="auto"/>
              <w:right w:val="single" w:sz="4" w:space="0" w:color="auto"/>
            </w:tcBorders>
            <w:vAlign w:val="bottom"/>
            <w:hideMark/>
          </w:tcPr>
          <w:p w14:paraId="747D41F7" w14:textId="77777777" w:rsidR="00F91CFE" w:rsidRPr="000E4B12" w:rsidRDefault="00F91CFE" w:rsidP="00F91CFE">
            <w:pPr>
              <w:spacing w:before="40" w:after="40"/>
              <w:jc w:val="center"/>
              <w:rPr>
                <w:b/>
                <w:bCs/>
                <w:lang w:val="en-GB" w:eastAsia="zh-CN"/>
              </w:rPr>
            </w:pPr>
            <w:r w:rsidRPr="000E4B12">
              <w:rPr>
                <w:b/>
                <w:bCs/>
                <w:lang w:val="en-GB" w:eastAsia="zh-CN"/>
              </w:rPr>
              <w:t>48</w:t>
            </w:r>
          </w:p>
        </w:tc>
        <w:tc>
          <w:tcPr>
            <w:tcW w:w="1015" w:type="dxa"/>
            <w:tcBorders>
              <w:top w:val="single" w:sz="4" w:space="0" w:color="auto"/>
              <w:left w:val="single" w:sz="4" w:space="0" w:color="auto"/>
              <w:bottom w:val="single" w:sz="4" w:space="0" w:color="auto"/>
              <w:right w:val="single" w:sz="4" w:space="0" w:color="auto"/>
            </w:tcBorders>
            <w:vAlign w:val="bottom"/>
            <w:hideMark/>
          </w:tcPr>
          <w:p w14:paraId="04589ADE" w14:textId="77777777" w:rsidR="00F91CFE" w:rsidRPr="000E4B12" w:rsidRDefault="00F91CFE" w:rsidP="00F91CFE">
            <w:pPr>
              <w:spacing w:before="40" w:after="40"/>
              <w:jc w:val="center"/>
              <w:rPr>
                <w:b/>
                <w:bCs/>
                <w:lang w:val="en-GB" w:eastAsia="zh-CN"/>
              </w:rPr>
            </w:pPr>
            <w:r w:rsidRPr="000E4B12">
              <w:rPr>
                <w:b/>
                <w:bCs/>
                <w:lang w:val="en-GB" w:eastAsia="zh-CN"/>
              </w:rPr>
              <w:t>32</w:t>
            </w:r>
          </w:p>
        </w:tc>
        <w:tc>
          <w:tcPr>
            <w:tcW w:w="1016" w:type="dxa"/>
            <w:tcBorders>
              <w:top w:val="single" w:sz="4" w:space="0" w:color="auto"/>
              <w:left w:val="single" w:sz="4" w:space="0" w:color="auto"/>
              <w:bottom w:val="single" w:sz="4" w:space="0" w:color="auto"/>
              <w:right w:val="single" w:sz="4" w:space="0" w:color="auto"/>
            </w:tcBorders>
            <w:vAlign w:val="bottom"/>
          </w:tcPr>
          <w:p w14:paraId="5639ED1F" w14:textId="77777777" w:rsidR="00F91CFE" w:rsidRPr="00F91CFE" w:rsidRDefault="00F91CFE" w:rsidP="00F91CFE">
            <w:pPr>
              <w:spacing w:before="40" w:after="40"/>
              <w:jc w:val="center"/>
              <w:rPr>
                <w:color w:val="FF0000"/>
                <w:lang w:val="en-GB" w:eastAsia="zh-CN"/>
              </w:rPr>
            </w:pPr>
          </w:p>
        </w:tc>
        <w:tc>
          <w:tcPr>
            <w:tcW w:w="1016" w:type="dxa"/>
            <w:tcBorders>
              <w:top w:val="single" w:sz="4" w:space="0" w:color="auto"/>
              <w:left w:val="single" w:sz="4" w:space="0" w:color="auto"/>
              <w:bottom w:val="single" w:sz="4" w:space="0" w:color="auto"/>
              <w:right w:val="single" w:sz="4" w:space="0" w:color="auto"/>
            </w:tcBorders>
            <w:vAlign w:val="bottom"/>
          </w:tcPr>
          <w:p w14:paraId="074A9A21" w14:textId="77777777" w:rsidR="00F91CFE" w:rsidRPr="00F91CFE" w:rsidRDefault="00F91CFE" w:rsidP="00F91CFE">
            <w:pPr>
              <w:spacing w:before="40" w:after="40"/>
              <w:jc w:val="center"/>
              <w:rPr>
                <w:color w:val="FF0000"/>
                <w:lang w:val="en-GB" w:eastAsia="zh-CN"/>
              </w:rPr>
            </w:pPr>
          </w:p>
        </w:tc>
      </w:tr>
      <w:tr w:rsidR="00F91CFE" w:rsidRPr="000E4B12" w14:paraId="0D209952" w14:textId="77777777" w:rsidTr="00F91CFE">
        <w:trPr>
          <w:trHeight w:val="52"/>
        </w:trPr>
        <w:tc>
          <w:tcPr>
            <w:tcW w:w="1530" w:type="dxa"/>
            <w:tcBorders>
              <w:top w:val="single" w:sz="4" w:space="0" w:color="auto"/>
              <w:left w:val="single" w:sz="4" w:space="0" w:color="auto"/>
              <w:bottom w:val="single" w:sz="4" w:space="0" w:color="auto"/>
              <w:right w:val="double" w:sz="4" w:space="0" w:color="auto"/>
            </w:tcBorders>
            <w:vAlign w:val="center"/>
            <w:hideMark/>
          </w:tcPr>
          <w:p w14:paraId="40845656" w14:textId="77777777" w:rsidR="00F91CFE" w:rsidRPr="000E4B12" w:rsidRDefault="00F91CFE" w:rsidP="00F91CFE">
            <w:pPr>
              <w:spacing w:before="40" w:after="40"/>
              <w:jc w:val="center"/>
              <w:rPr>
                <w:i/>
                <w:color w:val="000000"/>
                <w:lang w:val="en-GB" w:eastAsia="zh-CN"/>
              </w:rPr>
            </w:pPr>
            <w:r>
              <w:rPr>
                <w:lang w:eastAsia="zh-CN"/>
              </w:rPr>
              <w:t xml:space="preserve">CCE </w:t>
            </w:r>
            <w:r w:rsidRPr="000E4B12">
              <w:rPr>
                <w:lang w:eastAsia="zh-CN"/>
              </w:rPr>
              <w:t>Estimate</w:t>
            </w:r>
          </w:p>
        </w:tc>
        <w:tc>
          <w:tcPr>
            <w:tcW w:w="2031" w:type="dxa"/>
            <w:gridSpan w:val="2"/>
            <w:tcBorders>
              <w:top w:val="single" w:sz="4" w:space="0" w:color="auto"/>
              <w:left w:val="double" w:sz="4" w:space="0" w:color="auto"/>
              <w:bottom w:val="single" w:sz="4" w:space="0" w:color="auto"/>
              <w:right w:val="single" w:sz="4" w:space="0" w:color="auto"/>
            </w:tcBorders>
            <w:vAlign w:val="bottom"/>
            <w:hideMark/>
          </w:tcPr>
          <w:p w14:paraId="2FF0F995" w14:textId="77777777" w:rsidR="00F91CFE" w:rsidRPr="000E4B12" w:rsidRDefault="00F91CFE" w:rsidP="00F91CFE">
            <w:pPr>
              <w:spacing w:before="40" w:after="40"/>
              <w:jc w:val="center"/>
              <w:rPr>
                <w:lang w:val="en-GB" w:eastAsia="zh-CN"/>
              </w:rPr>
            </w:pPr>
            <w:r w:rsidRPr="000E4B12">
              <w:rPr>
                <w:lang w:val="en-GB" w:eastAsia="zh-CN"/>
              </w:rPr>
              <w:t>56</w:t>
            </w:r>
          </w:p>
        </w:tc>
        <w:tc>
          <w:tcPr>
            <w:tcW w:w="1016" w:type="dxa"/>
            <w:tcBorders>
              <w:top w:val="single" w:sz="4" w:space="0" w:color="auto"/>
              <w:left w:val="single" w:sz="4" w:space="0" w:color="auto"/>
              <w:bottom w:val="single" w:sz="4" w:space="0" w:color="auto"/>
              <w:right w:val="single" w:sz="4" w:space="0" w:color="auto"/>
            </w:tcBorders>
            <w:vAlign w:val="bottom"/>
            <w:hideMark/>
          </w:tcPr>
          <w:p w14:paraId="4AA3A8E3" w14:textId="77777777" w:rsidR="00F91CFE" w:rsidRPr="000E4B12" w:rsidRDefault="00F91CFE" w:rsidP="00F91CFE">
            <w:pPr>
              <w:spacing w:before="40" w:after="40"/>
              <w:jc w:val="center"/>
              <w:rPr>
                <w:lang w:val="en-GB" w:eastAsia="zh-CN"/>
              </w:rPr>
            </w:pPr>
            <w:r w:rsidRPr="000E4B12">
              <w:rPr>
                <w:lang w:val="en-GB" w:eastAsia="zh-CN"/>
              </w:rPr>
              <w:t>40</w:t>
            </w:r>
          </w:p>
        </w:tc>
        <w:tc>
          <w:tcPr>
            <w:tcW w:w="1015" w:type="dxa"/>
            <w:tcBorders>
              <w:top w:val="single" w:sz="4" w:space="0" w:color="auto"/>
              <w:left w:val="single" w:sz="4" w:space="0" w:color="auto"/>
              <w:bottom w:val="single" w:sz="4" w:space="0" w:color="auto"/>
              <w:right w:val="single" w:sz="4" w:space="0" w:color="auto"/>
            </w:tcBorders>
            <w:vAlign w:val="bottom"/>
            <w:hideMark/>
          </w:tcPr>
          <w:p w14:paraId="0392EB8E" w14:textId="77777777" w:rsidR="00F91CFE" w:rsidRPr="000E4B12" w:rsidRDefault="00F91CFE" w:rsidP="00F91CFE">
            <w:pPr>
              <w:spacing w:before="40" w:after="40"/>
              <w:jc w:val="center"/>
              <w:rPr>
                <w:lang w:val="en-GB" w:eastAsia="zh-CN"/>
              </w:rPr>
            </w:pPr>
            <w:r w:rsidRPr="000E4B12">
              <w:rPr>
                <w:lang w:val="en-GB" w:eastAsia="zh-CN"/>
              </w:rPr>
              <w:t>32</w:t>
            </w:r>
          </w:p>
        </w:tc>
        <w:tc>
          <w:tcPr>
            <w:tcW w:w="1016" w:type="dxa"/>
            <w:tcBorders>
              <w:top w:val="single" w:sz="4" w:space="0" w:color="auto"/>
              <w:left w:val="single" w:sz="4" w:space="0" w:color="auto"/>
              <w:bottom w:val="single" w:sz="4" w:space="0" w:color="auto"/>
              <w:right w:val="single" w:sz="4" w:space="0" w:color="auto"/>
            </w:tcBorders>
            <w:vAlign w:val="bottom"/>
            <w:hideMark/>
          </w:tcPr>
          <w:p w14:paraId="366346F5" w14:textId="77777777" w:rsidR="00F91CFE" w:rsidRPr="00F91CFE" w:rsidRDefault="00F91CFE" w:rsidP="00F91CFE">
            <w:pPr>
              <w:spacing w:before="40" w:after="40"/>
              <w:jc w:val="center"/>
              <w:rPr>
                <w:color w:val="FF0000"/>
                <w:lang w:val="en-GB" w:eastAsia="zh-CN"/>
              </w:rPr>
            </w:pPr>
            <w:r w:rsidRPr="00F91CFE">
              <w:rPr>
                <w:color w:val="FF0000"/>
                <w:lang w:val="en-GB" w:eastAsia="zh-CN"/>
              </w:rPr>
              <w:t>20</w:t>
            </w:r>
          </w:p>
        </w:tc>
        <w:tc>
          <w:tcPr>
            <w:tcW w:w="1016" w:type="dxa"/>
            <w:tcBorders>
              <w:top w:val="single" w:sz="4" w:space="0" w:color="auto"/>
              <w:left w:val="single" w:sz="4" w:space="0" w:color="auto"/>
              <w:bottom w:val="single" w:sz="4" w:space="0" w:color="auto"/>
              <w:right w:val="single" w:sz="4" w:space="0" w:color="auto"/>
            </w:tcBorders>
            <w:vAlign w:val="bottom"/>
            <w:hideMark/>
          </w:tcPr>
          <w:p w14:paraId="19A5EA77" w14:textId="77777777" w:rsidR="00F91CFE" w:rsidRPr="00F91CFE" w:rsidRDefault="00F91CFE" w:rsidP="00F91CFE">
            <w:pPr>
              <w:spacing w:before="40" w:after="40"/>
              <w:jc w:val="center"/>
              <w:rPr>
                <w:color w:val="FF0000"/>
                <w:lang w:val="en-GB" w:eastAsia="zh-CN"/>
              </w:rPr>
            </w:pPr>
            <w:r w:rsidRPr="00F91CFE">
              <w:rPr>
                <w:color w:val="FF0000"/>
                <w:lang w:val="en-GB" w:eastAsia="zh-CN"/>
              </w:rPr>
              <w:t>16</w:t>
            </w:r>
          </w:p>
        </w:tc>
      </w:tr>
    </w:tbl>
    <w:p w14:paraId="447E9922" w14:textId="77777777" w:rsidR="00F774E0" w:rsidRDefault="00F774E0" w:rsidP="00416521">
      <w:pPr>
        <w:pStyle w:val="BodyText"/>
      </w:pPr>
    </w:p>
    <w:p w14:paraId="680BEDC9" w14:textId="63D89EA7" w:rsidR="00F774E0" w:rsidRDefault="005A1F5D" w:rsidP="00FB1644">
      <w:pPr>
        <w:pStyle w:val="Heading2"/>
      </w:pPr>
      <w:r>
        <w:t>2.2</w:t>
      </w:r>
      <w:r w:rsidR="00F774E0">
        <w:tab/>
      </w:r>
      <w:r w:rsidR="00DC3282">
        <w:t xml:space="preserve">Multi-slot </w:t>
      </w:r>
      <w:r w:rsidR="00F774E0">
        <w:t xml:space="preserve">PDCCH monitoring </w:t>
      </w:r>
    </w:p>
    <w:p w14:paraId="3BC98F69" w14:textId="110953DF" w:rsidR="00EB506A" w:rsidRDefault="00601EFA" w:rsidP="00416521">
      <w:pPr>
        <w:pStyle w:val="BodyText"/>
      </w:pPr>
      <w:r>
        <w:t xml:space="preserve">Clearly, alternative </w:t>
      </w:r>
      <w:r w:rsidR="006A6C55">
        <w:t xml:space="preserve">solutions will be needed for Rel-17 NR operation in 52.6 to 71 GHz if the extrapolated </w:t>
      </w:r>
      <w:r w:rsidR="005332B1">
        <w:t xml:space="preserve">processing capability values are in the right range of the expected UE implementations. </w:t>
      </w:r>
      <w:r w:rsidR="00BC0AB7">
        <w:t xml:space="preserve">One possible direction is to </w:t>
      </w:r>
      <w:r w:rsidR="00212218">
        <w:t xml:space="preserve">reduce the periodicity of PDCCH monitoring at a UE </w:t>
      </w:r>
      <w:r w:rsidR="004E6636">
        <w:t xml:space="preserve">to allow more time for the UE to process the PDCCH candidates. </w:t>
      </w:r>
      <w:r w:rsidR="00E23153">
        <w:t xml:space="preserve">For instance, </w:t>
      </w:r>
      <w:r w:rsidR="003A4A18">
        <w:fldChar w:fldCharType="begin"/>
      </w:r>
      <w:r w:rsidR="003A4A18">
        <w:instrText xml:space="preserve"> REF _Ref47013743 \h </w:instrText>
      </w:r>
      <w:r w:rsidR="003A4A18">
        <w:fldChar w:fldCharType="separate"/>
      </w:r>
      <w:r w:rsidR="004D5D08" w:rsidRPr="00F676BA">
        <w:t xml:space="preserve">Figure </w:t>
      </w:r>
      <w:r w:rsidR="004D5D08">
        <w:rPr>
          <w:noProof/>
        </w:rPr>
        <w:t>2</w:t>
      </w:r>
      <w:r w:rsidR="003A4A18">
        <w:fldChar w:fldCharType="end"/>
      </w:r>
      <w:r w:rsidR="003A4A18">
        <w:t xml:space="preserve"> illustrates a case where the UE is configured to monitor PDCCH candidates every </w:t>
      </w:r>
      <m:oMath>
        <m:r>
          <w:rPr>
            <w:rFonts w:ascii="Cambria Math" w:hAnsi="Cambria Math"/>
          </w:rPr>
          <m:t>B=4</m:t>
        </m:r>
      </m:oMath>
      <w:r w:rsidR="006A30B6" w:rsidRPr="00DF7293" w:rsidDel="006A30B6">
        <w:t xml:space="preserve"> </w:t>
      </w:r>
      <w:r w:rsidR="003A4A18">
        <w:t>slots</w:t>
      </w:r>
      <w:r w:rsidR="003B2D4B">
        <w:t>.</w:t>
      </w:r>
      <w:r w:rsidR="00EB506A">
        <w:t xml:space="preserve"> </w:t>
      </w:r>
    </w:p>
    <w:p w14:paraId="3C603D7D" w14:textId="752F2B8D" w:rsidR="001D01B7" w:rsidRDefault="009A0B0B" w:rsidP="00FB1644">
      <w:pPr>
        <w:pStyle w:val="BodyText"/>
        <w:spacing w:before="120" w:after="0"/>
        <w:jc w:val="center"/>
      </w:pPr>
      <w:r w:rsidRPr="009A0B0B">
        <w:rPr>
          <w:noProof/>
        </w:rPr>
        <w:drawing>
          <wp:inline distT="0" distB="0" distL="0" distR="0" wp14:anchorId="476268B4" wp14:editId="305AB636">
            <wp:extent cx="6120765" cy="10585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1058545"/>
                    </a:xfrm>
                    <a:prstGeom prst="rect">
                      <a:avLst/>
                    </a:prstGeom>
                    <a:noFill/>
                    <a:ln>
                      <a:noFill/>
                    </a:ln>
                  </pic:spPr>
                </pic:pic>
              </a:graphicData>
            </a:graphic>
          </wp:inline>
        </w:drawing>
      </w:r>
    </w:p>
    <w:p w14:paraId="5323BB2D" w14:textId="4C9E7732" w:rsidR="001D01B7" w:rsidRDefault="001D01B7" w:rsidP="006563F7">
      <w:pPr>
        <w:pStyle w:val="TF"/>
        <w:rPr>
          <w:lang w:val="en-US"/>
        </w:rPr>
      </w:pPr>
      <w:bookmarkStart w:id="8" w:name="_Ref47013743"/>
      <w:r w:rsidRPr="00F676BA">
        <w:rPr>
          <w:lang w:val="en-US"/>
        </w:rPr>
        <w:t xml:space="preserve">Figure </w:t>
      </w:r>
      <w:r>
        <w:rPr>
          <w:lang w:val="en-US"/>
        </w:rPr>
        <w:fldChar w:fldCharType="begin"/>
      </w:r>
      <w:r w:rsidRPr="00F676BA">
        <w:rPr>
          <w:lang w:val="en-US"/>
        </w:rPr>
        <w:instrText xml:space="preserve"> SEQ Figure \* ARABIC </w:instrText>
      </w:r>
      <w:r>
        <w:rPr>
          <w:lang w:val="en-US"/>
        </w:rPr>
        <w:fldChar w:fldCharType="separate"/>
      </w:r>
      <w:r w:rsidR="00BF43B3">
        <w:rPr>
          <w:noProof/>
          <w:lang w:val="en-US"/>
        </w:rPr>
        <w:t>2</w:t>
      </w:r>
      <w:r>
        <w:rPr>
          <w:lang w:val="en-US"/>
        </w:rPr>
        <w:fldChar w:fldCharType="end"/>
      </w:r>
      <w:bookmarkEnd w:id="8"/>
      <w:r w:rsidRPr="00F676BA">
        <w:rPr>
          <w:lang w:val="en-US"/>
        </w:rPr>
        <w:t xml:space="preserve">: </w:t>
      </w:r>
      <w:r>
        <w:rPr>
          <w:lang w:val="en-US"/>
        </w:rPr>
        <w:t>Example of multi-slot PDCCH monitoring</w:t>
      </w:r>
      <w:r w:rsidR="00D8093D">
        <w:rPr>
          <w:lang w:val="en-US"/>
        </w:rPr>
        <w:t xml:space="preserve"> with periodicity </w:t>
      </w:r>
      <m:oMath>
        <m:r>
          <m:rPr>
            <m:sty m:val="bi"/>
          </m:rPr>
          <w:rPr>
            <w:rFonts w:ascii="Cambria Math" w:hAnsi="Cambria Math"/>
            <w:lang w:val="en-US"/>
          </w:rPr>
          <m:t>B=4</m:t>
        </m:r>
      </m:oMath>
      <w:r>
        <w:rPr>
          <w:lang w:val="en-US"/>
        </w:rPr>
        <w:t>.</w:t>
      </w:r>
    </w:p>
    <w:p w14:paraId="25203D78" w14:textId="77777777" w:rsidR="00244E30" w:rsidRDefault="00244E30" w:rsidP="00244E30">
      <w:pPr>
        <w:pStyle w:val="BodyText"/>
      </w:pPr>
      <w:r>
        <w:t>This is in-line with the following agreement from the study item:</w:t>
      </w:r>
    </w:p>
    <w:p w14:paraId="60E2EE65" w14:textId="77777777" w:rsidR="00244E30" w:rsidRDefault="00244E30" w:rsidP="00244E30">
      <w:pPr>
        <w:pStyle w:val="BodyText"/>
      </w:pPr>
      <w:r>
        <w:rPr>
          <w:noProof/>
        </w:rPr>
        <mc:AlternateContent>
          <mc:Choice Requires="wps">
            <w:drawing>
              <wp:inline distT="0" distB="0" distL="0" distR="0" wp14:anchorId="7CE095AB" wp14:editId="4EDAC06C">
                <wp:extent cx="6098540" cy="1404620"/>
                <wp:effectExtent l="0" t="0" r="16510" b="1397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650" cy="1404620"/>
                        </a:xfrm>
                        <a:prstGeom prst="rect">
                          <a:avLst/>
                        </a:prstGeom>
                        <a:solidFill>
                          <a:srgbClr val="FFFFFF"/>
                        </a:solidFill>
                        <a:ln w="9525">
                          <a:solidFill>
                            <a:srgbClr val="000000"/>
                          </a:solidFill>
                          <a:miter lim="800000"/>
                          <a:headEnd/>
                          <a:tailEnd/>
                        </a:ln>
                      </wps:spPr>
                      <wps:txbx>
                        <w:txbxContent>
                          <w:p w14:paraId="76E13DE9" w14:textId="77777777" w:rsidR="00FB1644" w:rsidRPr="00EB506A" w:rsidRDefault="00FB1644" w:rsidP="00244E30">
                            <w:pPr>
                              <w:spacing w:after="0" w:line="240" w:lineRule="auto"/>
                              <w:rPr>
                                <w:rFonts w:ascii="Times New Roman" w:eastAsia="Times New Roman" w:hAnsi="Times New Roman" w:cs="Times"/>
                                <w:szCs w:val="20"/>
                                <w:lang w:eastAsia="x-none"/>
                              </w:rPr>
                            </w:pPr>
                            <w:r w:rsidRPr="00EB506A">
                              <w:rPr>
                                <w:rFonts w:ascii="Times New Roman" w:eastAsia="Times New Roman" w:hAnsi="Times New Roman" w:cs="Times"/>
                                <w:szCs w:val="20"/>
                                <w:highlight w:val="green"/>
                                <w:lang w:eastAsia="x-none"/>
                              </w:rPr>
                              <w:t>Agreement:</w:t>
                            </w:r>
                          </w:p>
                          <w:p w14:paraId="3A10FD98" w14:textId="77777777" w:rsidR="00FB1644" w:rsidRPr="00EB506A" w:rsidRDefault="00FB1644" w:rsidP="00244E30">
                            <w:pPr>
                              <w:spacing w:after="0" w:line="240" w:lineRule="auto"/>
                              <w:rPr>
                                <w:rFonts w:ascii="Times New Roman" w:eastAsia="Times New Roman" w:hAnsi="Times New Roman" w:cs="Times"/>
                                <w:szCs w:val="20"/>
                              </w:rPr>
                            </w:pPr>
                            <w:r w:rsidRPr="00EB506A">
                              <w:rPr>
                                <w:rFonts w:ascii="Times New Roman" w:eastAsia="Times New Roman" w:hAnsi="Times New Roman" w:cs="Times"/>
                                <w:szCs w:val="20"/>
                              </w:rPr>
                              <w:t>Capture the following observations in the TR (Editorial modifications and changes to references can be made when capturing the observations in the TR):</w:t>
                            </w:r>
                          </w:p>
                          <w:p w14:paraId="38DD8410" w14:textId="77777777" w:rsidR="00FB1644" w:rsidRPr="00A37898" w:rsidRDefault="00FB1644" w:rsidP="00244E30">
                            <w:pPr>
                              <w:numPr>
                                <w:ilvl w:val="0"/>
                                <w:numId w:val="26"/>
                              </w:numPr>
                              <w:overflowPunct w:val="0"/>
                              <w:autoSpaceDE w:val="0"/>
                              <w:autoSpaceDN w:val="0"/>
                              <w:adjustRightInd w:val="0"/>
                              <w:spacing w:after="0" w:line="256" w:lineRule="auto"/>
                              <w:jc w:val="both"/>
                              <w:textAlignment w:val="baseline"/>
                              <w:rPr>
                                <w:rFonts w:ascii="Times New Roman" w:eastAsia="Times New Roman" w:hAnsi="Times New Roman" w:cs="Times"/>
                                <w:szCs w:val="20"/>
                                <w:lang w:eastAsia="zh-CN"/>
                              </w:rPr>
                            </w:pPr>
                            <w:r w:rsidRPr="00EB506A">
                              <w:rPr>
                                <w:rFonts w:ascii="Times New Roman" w:eastAsia="Times New Roman" w:hAnsi="Times New Roman" w:cs="Times"/>
                                <w:szCs w:val="20"/>
                                <w:lang w:eastAsia="zh-CN"/>
                              </w:rPr>
                              <w:t xml:space="preserve">It was observed that PDCCH processing capabilities per multiple slots for larger SCS (e.g. 480 or 960 kHz) can maintain scheduling framework same as for smaller SCS (e.g. 120 kHz) when the UE is configured to monitor the PDCCH every multiple </w:t>
                            </w:r>
                            <w:proofErr w:type="gramStart"/>
                            <w:r w:rsidRPr="00EB506A">
                              <w:rPr>
                                <w:rFonts w:ascii="Times New Roman" w:eastAsia="Times New Roman" w:hAnsi="Times New Roman" w:cs="Times"/>
                                <w:szCs w:val="20"/>
                                <w:lang w:eastAsia="zh-CN"/>
                              </w:rPr>
                              <w:t>slots</w:t>
                            </w:r>
                            <w:proofErr w:type="gramEnd"/>
                            <w:r w:rsidRPr="00EB506A">
                              <w:rPr>
                                <w:rFonts w:ascii="Times New Roman" w:eastAsia="Times New Roman" w:hAnsi="Times New Roman" w:cs="Times"/>
                                <w:szCs w:val="20"/>
                                <w:lang w:eastAsia="zh-CN"/>
                              </w:rPr>
                              <w:t>.</w:t>
                            </w:r>
                          </w:p>
                        </w:txbxContent>
                      </wps:txbx>
                      <wps:bodyPr rot="0" vert="horz" wrap="square" lIns="91440" tIns="45720" rIns="91440" bIns="45720" anchor="t" anchorCtr="0">
                        <a:spAutoFit/>
                      </wps:bodyPr>
                    </wps:wsp>
                  </a:graphicData>
                </a:graphic>
              </wp:inline>
            </w:drawing>
          </mc:Choice>
          <mc:Fallback>
            <w:pict>
              <v:shapetype w14:anchorId="7CE095AB" id="_x0000_t202" coordsize="21600,21600" o:spt="202" path="m,l,21600r21600,l21600,xe">
                <v:stroke joinstyle="miter"/>
                <v:path gradientshapeok="t" o:connecttype="rect"/>
              </v:shapetype>
              <v:shape id="Text Box 2" o:spid="_x0000_s1026" type="#_x0000_t202" style="width:480.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">
                <v:textbox style="mso-fit-shape-to-text:t">
                  <w:txbxContent>
                    <w:p w14:paraId="76E13DE9" w14:textId="77777777" w:rsidR="00FB1644" w:rsidRPr="00EB506A" w:rsidRDefault="00FB1644" w:rsidP="00244E30">
                      <w:pPr>
                        <w:spacing w:after="0" w:line="240" w:lineRule="auto"/>
                        <w:rPr>
                          <w:rFonts w:ascii="Times New Roman" w:eastAsia="Times New Roman" w:hAnsi="Times New Roman" w:cs="Times"/>
                          <w:szCs w:val="20"/>
                          <w:lang w:eastAsia="x-none"/>
                        </w:rPr>
                      </w:pPr>
                      <w:r w:rsidRPr="00EB506A">
                        <w:rPr>
                          <w:rFonts w:ascii="Times New Roman" w:eastAsia="Times New Roman" w:hAnsi="Times New Roman" w:cs="Times"/>
                          <w:szCs w:val="20"/>
                          <w:highlight w:val="green"/>
                          <w:lang w:eastAsia="x-none"/>
                        </w:rPr>
                        <w:t>Agreement:</w:t>
                      </w:r>
                    </w:p>
                    <w:p w14:paraId="3A10FD98" w14:textId="77777777" w:rsidR="00FB1644" w:rsidRPr="00EB506A" w:rsidRDefault="00FB1644" w:rsidP="00244E30">
                      <w:pPr>
                        <w:spacing w:after="0" w:line="240" w:lineRule="auto"/>
                        <w:rPr>
                          <w:rFonts w:ascii="Times New Roman" w:eastAsia="Times New Roman" w:hAnsi="Times New Roman" w:cs="Times"/>
                          <w:szCs w:val="20"/>
                        </w:rPr>
                      </w:pPr>
                      <w:r w:rsidRPr="00EB506A">
                        <w:rPr>
                          <w:rFonts w:ascii="Times New Roman" w:eastAsia="Times New Roman" w:hAnsi="Times New Roman" w:cs="Times"/>
                          <w:szCs w:val="20"/>
                        </w:rPr>
                        <w:t>Capture the following observations in the TR (Editorial modifications and changes to references can be made when capturing the observations in the TR):</w:t>
                      </w:r>
                    </w:p>
                    <w:p w14:paraId="38DD8410" w14:textId="77777777" w:rsidR="00FB1644" w:rsidRPr="00A37898" w:rsidRDefault="00FB1644" w:rsidP="00244E30">
                      <w:pPr>
                        <w:numPr>
                          <w:ilvl w:val="0"/>
                          <w:numId w:val="26"/>
                        </w:numPr>
                        <w:overflowPunct w:val="0"/>
                        <w:autoSpaceDE w:val="0"/>
                        <w:autoSpaceDN w:val="0"/>
                        <w:adjustRightInd w:val="0"/>
                        <w:spacing w:after="0" w:line="256" w:lineRule="auto"/>
                        <w:jc w:val="both"/>
                        <w:textAlignment w:val="baseline"/>
                        <w:rPr>
                          <w:rFonts w:ascii="Times New Roman" w:eastAsia="Times New Roman" w:hAnsi="Times New Roman" w:cs="Times"/>
                          <w:szCs w:val="20"/>
                          <w:lang w:eastAsia="zh-CN"/>
                        </w:rPr>
                      </w:pPr>
                      <w:r w:rsidRPr="00EB506A">
                        <w:rPr>
                          <w:rFonts w:ascii="Times New Roman" w:eastAsia="Times New Roman" w:hAnsi="Times New Roman" w:cs="Times"/>
                          <w:szCs w:val="20"/>
                          <w:lang w:eastAsia="zh-CN"/>
                        </w:rPr>
                        <w:t xml:space="preserve">It was observed that PDCCH processing capabilities per multiple slots for larger SCS (e.g. 480 or 960 kHz) can maintain scheduling framework same as for smaller SCS (e.g. 120 kHz) when the UE is configured to monitor the PDCCH every multiple </w:t>
                      </w:r>
                      <w:proofErr w:type="gramStart"/>
                      <w:r w:rsidRPr="00EB506A">
                        <w:rPr>
                          <w:rFonts w:ascii="Times New Roman" w:eastAsia="Times New Roman" w:hAnsi="Times New Roman" w:cs="Times"/>
                          <w:szCs w:val="20"/>
                          <w:lang w:eastAsia="zh-CN"/>
                        </w:rPr>
                        <w:t>slots</w:t>
                      </w:r>
                      <w:proofErr w:type="gramEnd"/>
                      <w:r w:rsidRPr="00EB506A">
                        <w:rPr>
                          <w:rFonts w:ascii="Times New Roman" w:eastAsia="Times New Roman" w:hAnsi="Times New Roman" w:cs="Times"/>
                          <w:szCs w:val="20"/>
                          <w:lang w:eastAsia="zh-CN"/>
                        </w:rPr>
                        <w:t>.</w:t>
                      </w:r>
                    </w:p>
                  </w:txbxContent>
                </v:textbox>
                <w10:anchorlock/>
              </v:shape>
            </w:pict>
          </mc:Fallback>
        </mc:AlternateContent>
      </w:r>
    </w:p>
    <w:p w14:paraId="70F38739" w14:textId="77777777" w:rsidR="00244E30" w:rsidRDefault="00244E30" w:rsidP="00D7112B">
      <w:pPr>
        <w:pStyle w:val="BodyText"/>
      </w:pPr>
    </w:p>
    <w:p w14:paraId="7DF97D8F" w14:textId="6E5AF34E" w:rsidR="002241FF" w:rsidRDefault="0030275E" w:rsidP="00D7112B">
      <w:pPr>
        <w:pStyle w:val="BodyText"/>
      </w:pPr>
      <w:r>
        <w:t>PDCCH monitoring per multiple slots is in fact supported in Rel-15 specs</w:t>
      </w:r>
      <w:r w:rsidR="00BE03AF">
        <w:t xml:space="preserve"> already</w:t>
      </w:r>
      <w:r>
        <w:t xml:space="preserve">. In the configuration of </w:t>
      </w:r>
      <w:proofErr w:type="spellStart"/>
      <w:r w:rsidRPr="00FB1644">
        <w:rPr>
          <w:rFonts w:ascii="Courier New" w:hAnsi="Courier New" w:cs="Courier New"/>
        </w:rPr>
        <w:t>SearchSpace</w:t>
      </w:r>
      <w:proofErr w:type="spellEnd"/>
      <w:r>
        <w:t xml:space="preserve">, </w:t>
      </w:r>
      <w:r w:rsidR="00431787">
        <w:t xml:space="preserve">the monitoring periodicity </w:t>
      </w:r>
      <w:r w:rsidR="004D753F">
        <w:t xml:space="preserve">and the offset within the periodicity can be configured using the following </w:t>
      </w:r>
      <w:r w:rsidR="00EB506A">
        <w:t>parameter which allows the periodicity to be configured as 1, 2, 4, 5, 8, 10, … slots up to a maximum of 12560 slots.</w:t>
      </w:r>
    </w:p>
    <w:p w14:paraId="3BFE605A" w14:textId="77777777" w:rsidR="00853B4B" w:rsidRPr="00FB1644" w:rsidRDefault="00853B4B" w:rsidP="00FB1644">
      <w:pPr>
        <w:pStyle w:val="BodyText"/>
        <w:ind w:left="567"/>
        <w:rPr>
          <w:rFonts w:ascii="Courier New" w:hAnsi="Courier New" w:cs="Courier New"/>
        </w:rPr>
      </w:pPr>
      <w:proofErr w:type="spellStart"/>
      <w:r w:rsidRPr="00FB1644">
        <w:rPr>
          <w:rFonts w:ascii="Courier New" w:hAnsi="Courier New" w:cs="Courier New"/>
        </w:rPr>
        <w:t>monitoringSlotPeriodicityAndOffset</w:t>
      </w:r>
      <w:proofErr w:type="spellEnd"/>
      <w:r w:rsidRPr="00FB1644">
        <w:rPr>
          <w:rFonts w:ascii="Courier New" w:hAnsi="Courier New" w:cs="Courier New"/>
        </w:rPr>
        <w:t xml:space="preserve"> CHOICE { </w:t>
      </w:r>
    </w:p>
    <w:p w14:paraId="28C326F3" w14:textId="00949E90" w:rsidR="00853B4B" w:rsidRPr="00FB1644" w:rsidRDefault="00853B4B" w:rsidP="00FB1644">
      <w:pPr>
        <w:pStyle w:val="BodyText"/>
        <w:tabs>
          <w:tab w:val="left" w:pos="5760"/>
        </w:tabs>
        <w:spacing w:after="0"/>
        <w:ind w:left="1138"/>
        <w:rPr>
          <w:rFonts w:ascii="Courier New" w:hAnsi="Courier New" w:cs="Courier New"/>
        </w:rPr>
      </w:pPr>
      <w:r w:rsidRPr="00FB1644">
        <w:rPr>
          <w:rFonts w:ascii="Courier New" w:hAnsi="Courier New" w:cs="Courier New"/>
        </w:rPr>
        <w:t xml:space="preserve">sl1 </w:t>
      </w:r>
      <w:r w:rsidR="00795A7F">
        <w:rPr>
          <w:rFonts w:ascii="Courier New" w:hAnsi="Courier New" w:cs="Courier New"/>
        </w:rPr>
        <w:tab/>
      </w:r>
      <w:r w:rsidRPr="00FB1644">
        <w:rPr>
          <w:rFonts w:ascii="Courier New" w:hAnsi="Courier New" w:cs="Courier New"/>
        </w:rPr>
        <w:t xml:space="preserve">NULL, </w:t>
      </w:r>
    </w:p>
    <w:p w14:paraId="61BA1257" w14:textId="6093B727" w:rsidR="00853B4B" w:rsidRPr="00FB1644" w:rsidRDefault="00853B4B" w:rsidP="00FB1644">
      <w:pPr>
        <w:pStyle w:val="BodyText"/>
        <w:tabs>
          <w:tab w:val="left" w:pos="5760"/>
        </w:tabs>
        <w:spacing w:after="0"/>
        <w:ind w:left="1138"/>
        <w:rPr>
          <w:rFonts w:ascii="Courier New" w:hAnsi="Courier New" w:cs="Courier New"/>
        </w:rPr>
      </w:pPr>
      <w:r w:rsidRPr="00FB1644">
        <w:rPr>
          <w:rFonts w:ascii="Courier New" w:hAnsi="Courier New" w:cs="Courier New"/>
        </w:rPr>
        <w:t xml:space="preserve">sl2 </w:t>
      </w:r>
      <w:r w:rsidR="00795A7F">
        <w:rPr>
          <w:rFonts w:ascii="Courier New" w:hAnsi="Courier New" w:cs="Courier New"/>
        </w:rPr>
        <w:tab/>
      </w:r>
      <w:r w:rsidRPr="00FB1644">
        <w:rPr>
          <w:rFonts w:ascii="Courier New" w:hAnsi="Courier New" w:cs="Courier New"/>
        </w:rPr>
        <w:t>INTEGER (</w:t>
      </w:r>
      <w:proofErr w:type="gramStart"/>
      <w:r w:rsidRPr="00FB1644">
        <w:rPr>
          <w:rFonts w:ascii="Courier New" w:hAnsi="Courier New" w:cs="Courier New"/>
        </w:rPr>
        <w:t>0..</w:t>
      </w:r>
      <w:proofErr w:type="gramEnd"/>
      <w:r w:rsidRPr="00FB1644">
        <w:rPr>
          <w:rFonts w:ascii="Courier New" w:hAnsi="Courier New" w:cs="Courier New"/>
        </w:rPr>
        <w:t xml:space="preserve">1), </w:t>
      </w:r>
    </w:p>
    <w:p w14:paraId="3A5E7A2F" w14:textId="1DE63FE4" w:rsidR="00853B4B" w:rsidRPr="00FB1644" w:rsidRDefault="00853B4B" w:rsidP="00FB1644">
      <w:pPr>
        <w:pStyle w:val="BodyText"/>
        <w:tabs>
          <w:tab w:val="left" w:pos="5760"/>
        </w:tabs>
        <w:spacing w:after="0"/>
        <w:ind w:left="1138"/>
        <w:rPr>
          <w:rFonts w:ascii="Courier New" w:hAnsi="Courier New" w:cs="Courier New"/>
        </w:rPr>
      </w:pPr>
      <w:r w:rsidRPr="00FB1644">
        <w:rPr>
          <w:rFonts w:ascii="Courier New" w:hAnsi="Courier New" w:cs="Courier New"/>
        </w:rPr>
        <w:t xml:space="preserve">sl4 </w:t>
      </w:r>
      <w:r w:rsidR="00795A7F">
        <w:rPr>
          <w:rFonts w:ascii="Courier New" w:hAnsi="Courier New" w:cs="Courier New"/>
        </w:rPr>
        <w:tab/>
      </w:r>
      <w:r w:rsidRPr="00FB1644">
        <w:rPr>
          <w:rFonts w:ascii="Courier New" w:hAnsi="Courier New" w:cs="Courier New"/>
        </w:rPr>
        <w:t>INTEGER (</w:t>
      </w:r>
      <w:proofErr w:type="gramStart"/>
      <w:r w:rsidRPr="00FB1644">
        <w:rPr>
          <w:rFonts w:ascii="Courier New" w:hAnsi="Courier New" w:cs="Courier New"/>
        </w:rPr>
        <w:t>0..</w:t>
      </w:r>
      <w:proofErr w:type="gramEnd"/>
      <w:r w:rsidRPr="00FB1644">
        <w:rPr>
          <w:rFonts w:ascii="Courier New" w:hAnsi="Courier New" w:cs="Courier New"/>
        </w:rPr>
        <w:t xml:space="preserve">3), </w:t>
      </w:r>
    </w:p>
    <w:p w14:paraId="55822A19" w14:textId="252DE246" w:rsidR="00853B4B" w:rsidRPr="00FB1644" w:rsidRDefault="00853B4B" w:rsidP="00FB1644">
      <w:pPr>
        <w:pStyle w:val="BodyText"/>
        <w:tabs>
          <w:tab w:val="left" w:pos="5760"/>
        </w:tabs>
        <w:spacing w:after="0"/>
        <w:ind w:left="1138"/>
        <w:rPr>
          <w:rFonts w:ascii="Courier New" w:hAnsi="Courier New" w:cs="Courier New"/>
        </w:rPr>
      </w:pPr>
      <w:r w:rsidRPr="00FB1644">
        <w:rPr>
          <w:rFonts w:ascii="Courier New" w:hAnsi="Courier New" w:cs="Courier New"/>
        </w:rPr>
        <w:t xml:space="preserve">sl5 </w:t>
      </w:r>
      <w:r w:rsidR="00795A7F">
        <w:rPr>
          <w:rFonts w:ascii="Courier New" w:hAnsi="Courier New" w:cs="Courier New"/>
        </w:rPr>
        <w:tab/>
      </w:r>
      <w:r w:rsidRPr="00FB1644">
        <w:rPr>
          <w:rFonts w:ascii="Courier New" w:hAnsi="Courier New" w:cs="Courier New"/>
        </w:rPr>
        <w:t>INTEGER (</w:t>
      </w:r>
      <w:proofErr w:type="gramStart"/>
      <w:r w:rsidRPr="00FB1644">
        <w:rPr>
          <w:rFonts w:ascii="Courier New" w:hAnsi="Courier New" w:cs="Courier New"/>
        </w:rPr>
        <w:t>0..</w:t>
      </w:r>
      <w:proofErr w:type="gramEnd"/>
      <w:r w:rsidRPr="00FB1644">
        <w:rPr>
          <w:rFonts w:ascii="Courier New" w:hAnsi="Courier New" w:cs="Courier New"/>
        </w:rPr>
        <w:t xml:space="preserve">4), </w:t>
      </w:r>
    </w:p>
    <w:p w14:paraId="7D95F6CA" w14:textId="6C4E661A" w:rsidR="00853B4B" w:rsidRPr="00FB1644" w:rsidRDefault="00853B4B" w:rsidP="00FB1644">
      <w:pPr>
        <w:pStyle w:val="BodyText"/>
        <w:tabs>
          <w:tab w:val="left" w:pos="5760"/>
        </w:tabs>
        <w:spacing w:after="0"/>
        <w:ind w:left="1138"/>
        <w:rPr>
          <w:rFonts w:ascii="Courier New" w:hAnsi="Courier New" w:cs="Courier New"/>
        </w:rPr>
      </w:pPr>
      <w:r w:rsidRPr="00FB1644">
        <w:rPr>
          <w:rFonts w:ascii="Courier New" w:hAnsi="Courier New" w:cs="Courier New"/>
        </w:rPr>
        <w:t xml:space="preserve">sl8 </w:t>
      </w:r>
      <w:r w:rsidR="00795A7F">
        <w:rPr>
          <w:rFonts w:ascii="Courier New" w:hAnsi="Courier New" w:cs="Courier New"/>
        </w:rPr>
        <w:tab/>
      </w:r>
      <w:r w:rsidRPr="00FB1644">
        <w:rPr>
          <w:rFonts w:ascii="Courier New" w:hAnsi="Courier New" w:cs="Courier New"/>
        </w:rPr>
        <w:t>INTEGER (</w:t>
      </w:r>
      <w:proofErr w:type="gramStart"/>
      <w:r w:rsidRPr="00FB1644">
        <w:rPr>
          <w:rFonts w:ascii="Courier New" w:hAnsi="Courier New" w:cs="Courier New"/>
        </w:rPr>
        <w:t>0..</w:t>
      </w:r>
      <w:proofErr w:type="gramEnd"/>
      <w:r w:rsidRPr="00FB1644">
        <w:rPr>
          <w:rFonts w:ascii="Courier New" w:hAnsi="Courier New" w:cs="Courier New"/>
        </w:rPr>
        <w:t xml:space="preserve">7), </w:t>
      </w:r>
    </w:p>
    <w:p w14:paraId="7D29B14B" w14:textId="16AFE903" w:rsidR="00853B4B" w:rsidRPr="00FB1644" w:rsidRDefault="00853B4B" w:rsidP="00FB1644">
      <w:pPr>
        <w:pStyle w:val="BodyText"/>
        <w:tabs>
          <w:tab w:val="left" w:pos="5760"/>
        </w:tabs>
        <w:spacing w:after="0"/>
        <w:ind w:left="1138"/>
        <w:rPr>
          <w:rFonts w:ascii="Courier New" w:hAnsi="Courier New" w:cs="Courier New"/>
        </w:rPr>
      </w:pPr>
      <w:r w:rsidRPr="00FB1644">
        <w:rPr>
          <w:rFonts w:ascii="Courier New" w:hAnsi="Courier New" w:cs="Courier New"/>
        </w:rPr>
        <w:t xml:space="preserve">sl10 </w:t>
      </w:r>
      <w:r w:rsidR="00795A7F">
        <w:rPr>
          <w:rFonts w:ascii="Courier New" w:hAnsi="Courier New" w:cs="Courier New"/>
        </w:rPr>
        <w:tab/>
      </w:r>
      <w:r w:rsidRPr="00FB1644">
        <w:rPr>
          <w:rFonts w:ascii="Courier New" w:hAnsi="Courier New" w:cs="Courier New"/>
        </w:rPr>
        <w:t>INTEGER (</w:t>
      </w:r>
      <w:proofErr w:type="gramStart"/>
      <w:r w:rsidRPr="00FB1644">
        <w:rPr>
          <w:rFonts w:ascii="Courier New" w:hAnsi="Courier New" w:cs="Courier New"/>
        </w:rPr>
        <w:t>0..</w:t>
      </w:r>
      <w:proofErr w:type="gramEnd"/>
      <w:r w:rsidRPr="00FB1644">
        <w:rPr>
          <w:rFonts w:ascii="Courier New" w:hAnsi="Courier New" w:cs="Courier New"/>
        </w:rPr>
        <w:t xml:space="preserve">9), </w:t>
      </w:r>
    </w:p>
    <w:p w14:paraId="43838BA6" w14:textId="758ACB6A" w:rsidR="00853B4B" w:rsidRPr="00FB1644" w:rsidRDefault="00853B4B" w:rsidP="00FB1644">
      <w:pPr>
        <w:pStyle w:val="BodyText"/>
        <w:tabs>
          <w:tab w:val="left" w:pos="5760"/>
        </w:tabs>
        <w:spacing w:after="0"/>
        <w:ind w:left="1138"/>
        <w:rPr>
          <w:rFonts w:ascii="Courier New" w:hAnsi="Courier New" w:cs="Courier New"/>
        </w:rPr>
      </w:pPr>
      <w:r w:rsidRPr="00FB1644">
        <w:rPr>
          <w:rFonts w:ascii="Courier New" w:hAnsi="Courier New" w:cs="Courier New"/>
        </w:rPr>
        <w:t xml:space="preserve">sl16 </w:t>
      </w:r>
      <w:r w:rsidR="00795A7F">
        <w:rPr>
          <w:rFonts w:ascii="Courier New" w:hAnsi="Courier New" w:cs="Courier New"/>
        </w:rPr>
        <w:tab/>
      </w:r>
      <w:r w:rsidRPr="00FB1644">
        <w:rPr>
          <w:rFonts w:ascii="Courier New" w:hAnsi="Courier New" w:cs="Courier New"/>
        </w:rPr>
        <w:t>INTEGER (</w:t>
      </w:r>
      <w:proofErr w:type="gramStart"/>
      <w:r w:rsidRPr="00FB1644">
        <w:rPr>
          <w:rFonts w:ascii="Courier New" w:hAnsi="Courier New" w:cs="Courier New"/>
        </w:rPr>
        <w:t>0..</w:t>
      </w:r>
      <w:proofErr w:type="gramEnd"/>
      <w:r w:rsidRPr="00FB1644">
        <w:rPr>
          <w:rFonts w:ascii="Courier New" w:hAnsi="Courier New" w:cs="Courier New"/>
        </w:rPr>
        <w:t xml:space="preserve">15), </w:t>
      </w:r>
    </w:p>
    <w:p w14:paraId="28912D75" w14:textId="68AA8B9B" w:rsidR="00853B4B" w:rsidRPr="00FB1644" w:rsidRDefault="00853B4B" w:rsidP="00FB1644">
      <w:pPr>
        <w:pStyle w:val="BodyText"/>
        <w:tabs>
          <w:tab w:val="left" w:pos="5760"/>
        </w:tabs>
        <w:spacing w:after="0"/>
        <w:ind w:left="1138"/>
        <w:rPr>
          <w:rFonts w:ascii="Courier New" w:hAnsi="Courier New" w:cs="Courier New"/>
        </w:rPr>
      </w:pPr>
      <w:r w:rsidRPr="00FB1644">
        <w:rPr>
          <w:rFonts w:ascii="Courier New" w:hAnsi="Courier New" w:cs="Courier New"/>
        </w:rPr>
        <w:t xml:space="preserve">sl20 </w:t>
      </w:r>
      <w:r w:rsidR="00795A7F">
        <w:rPr>
          <w:rFonts w:ascii="Courier New" w:hAnsi="Courier New" w:cs="Courier New"/>
        </w:rPr>
        <w:tab/>
      </w:r>
      <w:r w:rsidRPr="00FB1644">
        <w:rPr>
          <w:rFonts w:ascii="Courier New" w:hAnsi="Courier New" w:cs="Courier New"/>
        </w:rPr>
        <w:t>INTEGER (</w:t>
      </w:r>
      <w:proofErr w:type="gramStart"/>
      <w:r w:rsidRPr="00FB1644">
        <w:rPr>
          <w:rFonts w:ascii="Courier New" w:hAnsi="Courier New" w:cs="Courier New"/>
        </w:rPr>
        <w:t>0..</w:t>
      </w:r>
      <w:proofErr w:type="gramEnd"/>
      <w:r w:rsidRPr="00FB1644">
        <w:rPr>
          <w:rFonts w:ascii="Courier New" w:hAnsi="Courier New" w:cs="Courier New"/>
        </w:rPr>
        <w:t xml:space="preserve">19), </w:t>
      </w:r>
    </w:p>
    <w:p w14:paraId="6489A649" w14:textId="71BA9AF0" w:rsidR="00853B4B" w:rsidRPr="00FB1644" w:rsidRDefault="00853B4B" w:rsidP="00FB1644">
      <w:pPr>
        <w:pStyle w:val="BodyText"/>
        <w:tabs>
          <w:tab w:val="left" w:pos="5760"/>
        </w:tabs>
        <w:spacing w:after="0"/>
        <w:ind w:left="1138"/>
        <w:rPr>
          <w:rFonts w:ascii="Courier New" w:hAnsi="Courier New" w:cs="Courier New"/>
        </w:rPr>
      </w:pPr>
      <w:r w:rsidRPr="00FB1644">
        <w:rPr>
          <w:rFonts w:ascii="Courier New" w:hAnsi="Courier New" w:cs="Courier New"/>
        </w:rPr>
        <w:t xml:space="preserve">sl40 </w:t>
      </w:r>
      <w:r w:rsidR="00795A7F">
        <w:rPr>
          <w:rFonts w:ascii="Courier New" w:hAnsi="Courier New" w:cs="Courier New"/>
        </w:rPr>
        <w:tab/>
      </w:r>
      <w:r w:rsidRPr="00FB1644">
        <w:rPr>
          <w:rFonts w:ascii="Courier New" w:hAnsi="Courier New" w:cs="Courier New"/>
        </w:rPr>
        <w:t>INTEGER (</w:t>
      </w:r>
      <w:proofErr w:type="gramStart"/>
      <w:r w:rsidRPr="00FB1644">
        <w:rPr>
          <w:rFonts w:ascii="Courier New" w:hAnsi="Courier New" w:cs="Courier New"/>
        </w:rPr>
        <w:t>0..</w:t>
      </w:r>
      <w:proofErr w:type="gramEnd"/>
      <w:r w:rsidRPr="00FB1644">
        <w:rPr>
          <w:rFonts w:ascii="Courier New" w:hAnsi="Courier New" w:cs="Courier New"/>
        </w:rPr>
        <w:t xml:space="preserve">39), </w:t>
      </w:r>
    </w:p>
    <w:p w14:paraId="0FBD34FC" w14:textId="1ED6DD07" w:rsidR="00853B4B" w:rsidRPr="00FB1644" w:rsidRDefault="00853B4B" w:rsidP="00FB1644">
      <w:pPr>
        <w:pStyle w:val="BodyText"/>
        <w:tabs>
          <w:tab w:val="left" w:pos="5760"/>
        </w:tabs>
        <w:spacing w:after="0"/>
        <w:ind w:left="1138"/>
        <w:rPr>
          <w:rFonts w:ascii="Courier New" w:hAnsi="Courier New" w:cs="Courier New"/>
        </w:rPr>
      </w:pPr>
      <w:r w:rsidRPr="00FB1644">
        <w:rPr>
          <w:rFonts w:ascii="Courier New" w:hAnsi="Courier New" w:cs="Courier New"/>
        </w:rPr>
        <w:t xml:space="preserve">sl80 </w:t>
      </w:r>
      <w:r w:rsidR="00795A7F">
        <w:rPr>
          <w:rFonts w:ascii="Courier New" w:hAnsi="Courier New" w:cs="Courier New"/>
        </w:rPr>
        <w:tab/>
      </w:r>
      <w:r w:rsidRPr="00FB1644">
        <w:rPr>
          <w:rFonts w:ascii="Courier New" w:hAnsi="Courier New" w:cs="Courier New"/>
        </w:rPr>
        <w:t>INTEGER (</w:t>
      </w:r>
      <w:proofErr w:type="gramStart"/>
      <w:r w:rsidRPr="00FB1644">
        <w:rPr>
          <w:rFonts w:ascii="Courier New" w:hAnsi="Courier New" w:cs="Courier New"/>
        </w:rPr>
        <w:t>0..</w:t>
      </w:r>
      <w:proofErr w:type="gramEnd"/>
      <w:r w:rsidRPr="00FB1644">
        <w:rPr>
          <w:rFonts w:ascii="Courier New" w:hAnsi="Courier New" w:cs="Courier New"/>
        </w:rPr>
        <w:t xml:space="preserve">79), </w:t>
      </w:r>
    </w:p>
    <w:p w14:paraId="68A661B0" w14:textId="33EA287D" w:rsidR="00853B4B" w:rsidRPr="00FB1644" w:rsidRDefault="00853B4B" w:rsidP="00FB1644">
      <w:pPr>
        <w:pStyle w:val="BodyText"/>
        <w:tabs>
          <w:tab w:val="left" w:pos="5760"/>
        </w:tabs>
        <w:spacing w:after="0"/>
        <w:ind w:left="1138"/>
        <w:rPr>
          <w:rFonts w:ascii="Courier New" w:hAnsi="Courier New" w:cs="Courier New"/>
        </w:rPr>
      </w:pPr>
      <w:r w:rsidRPr="00FB1644">
        <w:rPr>
          <w:rFonts w:ascii="Courier New" w:hAnsi="Courier New" w:cs="Courier New"/>
        </w:rPr>
        <w:lastRenderedPageBreak/>
        <w:t xml:space="preserve">sl160 </w:t>
      </w:r>
      <w:r w:rsidR="00795A7F">
        <w:rPr>
          <w:rFonts w:ascii="Courier New" w:hAnsi="Courier New" w:cs="Courier New"/>
        </w:rPr>
        <w:tab/>
      </w:r>
      <w:r w:rsidRPr="00FB1644">
        <w:rPr>
          <w:rFonts w:ascii="Courier New" w:hAnsi="Courier New" w:cs="Courier New"/>
        </w:rPr>
        <w:t>INTEGER (</w:t>
      </w:r>
      <w:proofErr w:type="gramStart"/>
      <w:r w:rsidRPr="00FB1644">
        <w:rPr>
          <w:rFonts w:ascii="Courier New" w:hAnsi="Courier New" w:cs="Courier New"/>
        </w:rPr>
        <w:t>0..</w:t>
      </w:r>
      <w:proofErr w:type="gramEnd"/>
      <w:r w:rsidRPr="00FB1644">
        <w:rPr>
          <w:rFonts w:ascii="Courier New" w:hAnsi="Courier New" w:cs="Courier New"/>
        </w:rPr>
        <w:t xml:space="preserve">159), </w:t>
      </w:r>
    </w:p>
    <w:p w14:paraId="51FE9B57" w14:textId="3920202C" w:rsidR="00853B4B" w:rsidRPr="00FB1644" w:rsidRDefault="00853B4B" w:rsidP="00FB1644">
      <w:pPr>
        <w:pStyle w:val="BodyText"/>
        <w:tabs>
          <w:tab w:val="left" w:pos="5760"/>
        </w:tabs>
        <w:spacing w:after="0"/>
        <w:ind w:left="1138"/>
        <w:rPr>
          <w:rFonts w:ascii="Courier New" w:hAnsi="Courier New" w:cs="Courier New"/>
        </w:rPr>
      </w:pPr>
      <w:r w:rsidRPr="00FB1644">
        <w:rPr>
          <w:rFonts w:ascii="Courier New" w:hAnsi="Courier New" w:cs="Courier New"/>
        </w:rPr>
        <w:t xml:space="preserve">sl320 </w:t>
      </w:r>
      <w:r w:rsidR="00795A7F">
        <w:rPr>
          <w:rFonts w:ascii="Courier New" w:hAnsi="Courier New" w:cs="Courier New"/>
        </w:rPr>
        <w:tab/>
      </w:r>
      <w:r w:rsidRPr="00FB1644">
        <w:rPr>
          <w:rFonts w:ascii="Courier New" w:hAnsi="Courier New" w:cs="Courier New"/>
        </w:rPr>
        <w:t>INTEGER (</w:t>
      </w:r>
      <w:proofErr w:type="gramStart"/>
      <w:r w:rsidRPr="00FB1644">
        <w:rPr>
          <w:rFonts w:ascii="Courier New" w:hAnsi="Courier New" w:cs="Courier New"/>
        </w:rPr>
        <w:t>0..</w:t>
      </w:r>
      <w:proofErr w:type="gramEnd"/>
      <w:r w:rsidRPr="00FB1644">
        <w:rPr>
          <w:rFonts w:ascii="Courier New" w:hAnsi="Courier New" w:cs="Courier New"/>
        </w:rPr>
        <w:t xml:space="preserve">319), </w:t>
      </w:r>
    </w:p>
    <w:p w14:paraId="2F9A42DB" w14:textId="207F0CE1" w:rsidR="00853B4B" w:rsidRPr="00FB1644" w:rsidRDefault="00853B4B" w:rsidP="00FB1644">
      <w:pPr>
        <w:pStyle w:val="BodyText"/>
        <w:tabs>
          <w:tab w:val="left" w:pos="5760"/>
        </w:tabs>
        <w:spacing w:after="0"/>
        <w:ind w:left="1138"/>
        <w:rPr>
          <w:rFonts w:ascii="Courier New" w:hAnsi="Courier New" w:cs="Courier New"/>
        </w:rPr>
      </w:pPr>
      <w:r w:rsidRPr="00FB1644">
        <w:rPr>
          <w:rFonts w:ascii="Courier New" w:hAnsi="Courier New" w:cs="Courier New"/>
        </w:rPr>
        <w:t xml:space="preserve">sl640 </w:t>
      </w:r>
      <w:r w:rsidR="00795A7F">
        <w:rPr>
          <w:rFonts w:ascii="Courier New" w:hAnsi="Courier New" w:cs="Courier New"/>
        </w:rPr>
        <w:tab/>
      </w:r>
      <w:r w:rsidRPr="00FB1644">
        <w:rPr>
          <w:rFonts w:ascii="Courier New" w:hAnsi="Courier New" w:cs="Courier New"/>
        </w:rPr>
        <w:t>INTEGER (</w:t>
      </w:r>
      <w:proofErr w:type="gramStart"/>
      <w:r w:rsidRPr="00FB1644">
        <w:rPr>
          <w:rFonts w:ascii="Courier New" w:hAnsi="Courier New" w:cs="Courier New"/>
        </w:rPr>
        <w:t>0..</w:t>
      </w:r>
      <w:proofErr w:type="gramEnd"/>
      <w:r w:rsidRPr="00FB1644">
        <w:rPr>
          <w:rFonts w:ascii="Courier New" w:hAnsi="Courier New" w:cs="Courier New"/>
        </w:rPr>
        <w:t xml:space="preserve">639), </w:t>
      </w:r>
    </w:p>
    <w:p w14:paraId="4C0394C3" w14:textId="451DE5DC" w:rsidR="00853B4B" w:rsidRPr="00FB1644" w:rsidRDefault="00853B4B" w:rsidP="00FB1644">
      <w:pPr>
        <w:pStyle w:val="BodyText"/>
        <w:tabs>
          <w:tab w:val="left" w:pos="5760"/>
        </w:tabs>
        <w:spacing w:after="0"/>
        <w:ind w:left="1138"/>
        <w:rPr>
          <w:rFonts w:ascii="Courier New" w:hAnsi="Courier New" w:cs="Courier New"/>
        </w:rPr>
      </w:pPr>
      <w:r w:rsidRPr="00FB1644">
        <w:rPr>
          <w:rFonts w:ascii="Courier New" w:hAnsi="Courier New" w:cs="Courier New"/>
        </w:rPr>
        <w:t xml:space="preserve">sl1280 </w:t>
      </w:r>
      <w:r w:rsidR="00795A7F">
        <w:rPr>
          <w:rFonts w:ascii="Courier New" w:hAnsi="Courier New" w:cs="Courier New"/>
        </w:rPr>
        <w:tab/>
      </w:r>
      <w:r w:rsidRPr="00FB1644">
        <w:rPr>
          <w:rFonts w:ascii="Courier New" w:hAnsi="Courier New" w:cs="Courier New"/>
        </w:rPr>
        <w:t>INTEGER (</w:t>
      </w:r>
      <w:proofErr w:type="gramStart"/>
      <w:r w:rsidRPr="00FB1644">
        <w:rPr>
          <w:rFonts w:ascii="Courier New" w:hAnsi="Courier New" w:cs="Courier New"/>
        </w:rPr>
        <w:t>0..</w:t>
      </w:r>
      <w:proofErr w:type="gramEnd"/>
      <w:r w:rsidRPr="00FB1644">
        <w:rPr>
          <w:rFonts w:ascii="Courier New" w:hAnsi="Courier New" w:cs="Courier New"/>
        </w:rPr>
        <w:t xml:space="preserve">1279), </w:t>
      </w:r>
    </w:p>
    <w:p w14:paraId="406EE870" w14:textId="270805C3" w:rsidR="00853B4B" w:rsidRPr="00FB1644" w:rsidRDefault="00853B4B" w:rsidP="00FB1644">
      <w:pPr>
        <w:pStyle w:val="BodyText"/>
        <w:tabs>
          <w:tab w:val="left" w:pos="5760"/>
        </w:tabs>
        <w:spacing w:after="0"/>
        <w:ind w:left="1138"/>
        <w:rPr>
          <w:rFonts w:ascii="Courier New" w:hAnsi="Courier New" w:cs="Courier New"/>
        </w:rPr>
      </w:pPr>
      <w:r w:rsidRPr="00FB1644">
        <w:rPr>
          <w:rFonts w:ascii="Courier New" w:hAnsi="Courier New" w:cs="Courier New"/>
        </w:rPr>
        <w:t xml:space="preserve">sl2560 </w:t>
      </w:r>
      <w:r w:rsidR="00795A7F">
        <w:rPr>
          <w:rFonts w:ascii="Courier New" w:hAnsi="Courier New" w:cs="Courier New"/>
        </w:rPr>
        <w:tab/>
      </w:r>
      <w:r w:rsidRPr="00FB1644">
        <w:rPr>
          <w:rFonts w:ascii="Courier New" w:hAnsi="Courier New" w:cs="Courier New"/>
        </w:rPr>
        <w:t>INTEGER (</w:t>
      </w:r>
      <w:proofErr w:type="gramStart"/>
      <w:r w:rsidRPr="00FB1644">
        <w:rPr>
          <w:rFonts w:ascii="Courier New" w:hAnsi="Courier New" w:cs="Courier New"/>
        </w:rPr>
        <w:t>0..</w:t>
      </w:r>
      <w:proofErr w:type="gramEnd"/>
      <w:r w:rsidRPr="00FB1644">
        <w:rPr>
          <w:rFonts w:ascii="Courier New" w:hAnsi="Courier New" w:cs="Courier New"/>
        </w:rPr>
        <w:t xml:space="preserve">2559) </w:t>
      </w:r>
    </w:p>
    <w:p w14:paraId="62EE18D9" w14:textId="79D7E43B" w:rsidR="00853B4B" w:rsidRPr="00FB1644" w:rsidRDefault="00853B4B" w:rsidP="00FB1644">
      <w:pPr>
        <w:pStyle w:val="BodyText"/>
        <w:ind w:left="567"/>
        <w:rPr>
          <w:rFonts w:ascii="Courier New" w:hAnsi="Courier New" w:cs="Courier New"/>
        </w:rPr>
      </w:pPr>
      <w:r w:rsidRPr="00FB1644">
        <w:rPr>
          <w:rFonts w:ascii="Courier New" w:hAnsi="Courier New" w:cs="Courier New"/>
        </w:rPr>
        <w:t>}</w:t>
      </w:r>
    </w:p>
    <w:p w14:paraId="32F8A437" w14:textId="396C19C4" w:rsidR="00D7112B" w:rsidRDefault="002729FD" w:rsidP="00D7112B">
      <w:pPr>
        <w:pStyle w:val="BodyText"/>
      </w:pPr>
      <w:r>
        <w:t>T</w:t>
      </w:r>
      <w:r w:rsidR="00D7112B">
        <w:t xml:space="preserve">he PDCCH monitoring period and offset are UE-specific configurations. From the network’s point of view, the </w:t>
      </w:r>
      <w:proofErr w:type="spellStart"/>
      <w:r w:rsidR="00D7112B">
        <w:t>gNB</w:t>
      </w:r>
      <w:proofErr w:type="spellEnd"/>
      <w:r w:rsidR="00D7112B">
        <w:t xml:space="preserve"> can stagger/offset the PDCCH transmissions for different UEs in different slots.</w:t>
      </w:r>
    </w:p>
    <w:p w14:paraId="3964E455" w14:textId="4E04BBE5" w:rsidR="00B37F9E" w:rsidRDefault="007F0687" w:rsidP="00A27B63">
      <w:pPr>
        <w:pStyle w:val="Heading2"/>
      </w:pPr>
      <w:r>
        <w:t>2.</w:t>
      </w:r>
      <w:r w:rsidR="00F774E0">
        <w:t>3</w:t>
      </w:r>
      <w:r w:rsidRPr="00C81EDA">
        <w:tab/>
      </w:r>
      <w:r w:rsidR="00B37F9E">
        <w:t>Capability scaling for multi-slot PDCCH monitoring</w:t>
      </w:r>
    </w:p>
    <w:p w14:paraId="53B8517C" w14:textId="26A92A84" w:rsidR="008C1075" w:rsidRDefault="00591A94" w:rsidP="00591A94">
      <w:pPr>
        <w:pStyle w:val="BodyText"/>
      </w:pPr>
      <w:r>
        <w:t xml:space="preserve">While </w:t>
      </w:r>
      <w:r w:rsidR="00BE03AF">
        <w:t xml:space="preserve">a </w:t>
      </w:r>
      <w:r>
        <w:t xml:space="preserve">large </w:t>
      </w:r>
      <w:r w:rsidR="00BE03AF">
        <w:t xml:space="preserve">range of </w:t>
      </w:r>
      <w:r w:rsidR="00C03A17">
        <w:t xml:space="preserve">search space </w:t>
      </w:r>
      <w:r>
        <w:t>monitoring periodici</w:t>
      </w:r>
      <w:r w:rsidR="00BE03AF">
        <w:t>ties</w:t>
      </w:r>
      <w:r>
        <w:t xml:space="preserve"> h</w:t>
      </w:r>
      <w:r w:rsidR="00BE03AF">
        <w:t>ave</w:t>
      </w:r>
      <w:r>
        <w:t xml:space="preserve"> been supported since Rel-15, the UE PDCCH processing capabilities have been defined only on a per slot basis. For the multi-slot PDCCH monitoring approach </w:t>
      </w:r>
      <w:r w:rsidR="00BE03AF">
        <w:t>discussed in the previous section</w:t>
      </w:r>
      <w:r>
        <w:t xml:space="preserve">, it will be necessary to define UE processing capabilities </w:t>
      </w:r>
      <w:r w:rsidR="00BE03AF">
        <w:t xml:space="preserve">on a per-slot </w:t>
      </w:r>
      <w:r>
        <w:t>bundle</w:t>
      </w:r>
      <w:r w:rsidR="00BE03AF">
        <w:t xml:space="preserve"> basis considering the following:</w:t>
      </w:r>
      <w:r>
        <w:t xml:space="preserve"> </w:t>
      </w:r>
    </w:p>
    <w:p w14:paraId="7B9C7C44" w14:textId="300F361E" w:rsidR="008C1075" w:rsidRPr="008C1075" w:rsidRDefault="00BE03AF" w:rsidP="008C1075">
      <w:pPr>
        <w:pStyle w:val="BodyText"/>
        <w:numPr>
          <w:ilvl w:val="0"/>
          <w:numId w:val="25"/>
        </w:numPr>
      </w:pPr>
      <w:r>
        <w:t>We</w:t>
      </w:r>
      <w:r w:rsidR="00591A94">
        <w:t xml:space="preserve"> can view the UE PDCCH processing capabilities defined in Rel-15 as being define for a slot bundle size of </w:t>
      </w:r>
      <m:oMath>
        <m:r>
          <w:rPr>
            <w:rFonts w:ascii="Cambria Math" w:hAnsi="Cambria Math"/>
          </w:rPr>
          <m:t>B=1</m:t>
        </m:r>
      </m:oMath>
      <w:r w:rsidR="00591A94">
        <w:rPr>
          <w:rFonts w:eastAsiaTheme="minorEastAsia"/>
        </w:rPr>
        <w:t xml:space="preserve">. </w:t>
      </w:r>
      <w:r w:rsidR="008C1075">
        <w:rPr>
          <w:rFonts w:eastAsiaTheme="minorEastAsia"/>
        </w:rPr>
        <w:t xml:space="preserve">A search space can have a </w:t>
      </w:r>
      <w:r w:rsidR="00916D74">
        <w:rPr>
          <w:rFonts w:eastAsiaTheme="minorEastAsia"/>
        </w:rPr>
        <w:t xml:space="preserve">monitoring periodicity that is an integer multiple of the bundle size, </w:t>
      </w:r>
      <w:r w:rsidR="00DB2AFC">
        <w:rPr>
          <w:rFonts w:eastAsiaTheme="minorEastAsia"/>
        </w:rPr>
        <w:t xml:space="preserve">which is any positive integer </w:t>
      </w:r>
      <w:r w:rsidR="003A7B3F">
        <w:rPr>
          <w:rFonts w:eastAsiaTheme="minorEastAsia"/>
        </w:rPr>
        <w:t xml:space="preserve">allowed in the Rel-15 specs </w:t>
      </w:r>
      <w:r w:rsidR="00DB2AFC">
        <w:rPr>
          <w:rFonts w:eastAsiaTheme="minorEastAsia"/>
        </w:rPr>
        <w:t xml:space="preserve">since </w:t>
      </w:r>
      <m:oMath>
        <m:r>
          <w:rPr>
            <w:rFonts w:ascii="Cambria Math" w:eastAsiaTheme="minorEastAsia" w:hAnsi="Cambria Math"/>
          </w:rPr>
          <m:t>B=1</m:t>
        </m:r>
      </m:oMath>
      <w:r w:rsidR="00DB2AFC">
        <w:rPr>
          <w:rFonts w:eastAsiaTheme="minorEastAsia"/>
        </w:rPr>
        <w:t>.</w:t>
      </w:r>
    </w:p>
    <w:p w14:paraId="34D7C933" w14:textId="614CE519" w:rsidR="008C1075" w:rsidRDefault="00591A94" w:rsidP="008C1075">
      <w:pPr>
        <w:pStyle w:val="BodyText"/>
        <w:numPr>
          <w:ilvl w:val="0"/>
          <w:numId w:val="25"/>
        </w:numPr>
      </w:pPr>
      <w:r>
        <w:rPr>
          <w:rFonts w:eastAsiaTheme="minorEastAsia"/>
        </w:rPr>
        <w:t xml:space="preserve">For the example of PDCCH monitoring every 4 slots in the above, UE PDCCH processing capabilities for the bundle </w:t>
      </w:r>
      <w:r w:rsidR="00BE03AF">
        <w:rPr>
          <w:rFonts w:eastAsiaTheme="minorEastAsia"/>
        </w:rPr>
        <w:t xml:space="preserve">size </w:t>
      </w:r>
      <w:r>
        <w:rPr>
          <w:rFonts w:eastAsiaTheme="minorEastAsia"/>
        </w:rPr>
        <w:t xml:space="preserve">of </w:t>
      </w:r>
      <m:oMath>
        <m:r>
          <w:rPr>
            <w:rFonts w:ascii="Cambria Math" w:eastAsiaTheme="minorEastAsia" w:hAnsi="Cambria Math"/>
          </w:rPr>
          <m:t>B=4</m:t>
        </m:r>
      </m:oMath>
      <w:r>
        <w:rPr>
          <w:rFonts w:eastAsiaTheme="minorEastAsia"/>
        </w:rPr>
        <w:t xml:space="preserve"> slots will need to be defined.</w:t>
      </w:r>
      <w:r>
        <w:t xml:space="preserve"> </w:t>
      </w:r>
      <w:r w:rsidR="00BE03AF">
        <w:t>For this bundle size, a</w:t>
      </w:r>
      <w:r w:rsidR="00DB2AFC">
        <w:rPr>
          <w:rFonts w:eastAsiaTheme="minorEastAsia"/>
        </w:rPr>
        <w:t xml:space="preserve"> search space </w:t>
      </w:r>
      <w:r w:rsidR="00BE03AF">
        <w:rPr>
          <w:rFonts w:eastAsiaTheme="minorEastAsia"/>
        </w:rPr>
        <w:t>can be configured to have a</w:t>
      </w:r>
      <w:r w:rsidR="00DB2AFC">
        <w:rPr>
          <w:rFonts w:eastAsiaTheme="minorEastAsia"/>
        </w:rPr>
        <w:t xml:space="preserve"> monitoring periodicity that is an integer multiple of the bundle size, which, in this example, </w:t>
      </w:r>
      <w:r w:rsidR="00425073">
        <w:rPr>
          <w:rFonts w:eastAsiaTheme="minorEastAsia"/>
        </w:rPr>
        <w:t xml:space="preserve">can be 4, </w:t>
      </w:r>
      <w:r w:rsidR="009F44EC">
        <w:rPr>
          <w:rFonts w:eastAsiaTheme="minorEastAsia"/>
        </w:rPr>
        <w:t>8, 20</w:t>
      </w:r>
      <w:r w:rsidR="00425073">
        <w:rPr>
          <w:rFonts w:eastAsiaTheme="minorEastAsia"/>
        </w:rPr>
        <w:t xml:space="preserve"> and so forth</w:t>
      </w:r>
      <w:r w:rsidR="00DB2AFC">
        <w:rPr>
          <w:rFonts w:eastAsiaTheme="minorEastAsia"/>
        </w:rPr>
        <w:t>.</w:t>
      </w:r>
    </w:p>
    <w:p w14:paraId="5B0E66AF" w14:textId="1437AA53" w:rsidR="00591A94" w:rsidRDefault="00591A94" w:rsidP="00591A94">
      <w:pPr>
        <w:pStyle w:val="BodyText"/>
      </w:pPr>
    </w:p>
    <w:p w14:paraId="7D13BEA1" w14:textId="0C657BB3" w:rsidR="00887F95" w:rsidRPr="00602B7C" w:rsidRDefault="00887F95" w:rsidP="00887F95">
      <w:pPr>
        <w:pStyle w:val="Proposal"/>
        <w:tabs>
          <w:tab w:val="num" w:pos="1304"/>
        </w:tabs>
        <w:overflowPunct w:val="0"/>
        <w:autoSpaceDE w:val="0"/>
        <w:autoSpaceDN w:val="0"/>
        <w:adjustRightInd w:val="0"/>
        <w:spacing w:line="240" w:lineRule="auto"/>
        <w:ind w:left="1304" w:hanging="1304"/>
        <w:textAlignment w:val="baseline"/>
      </w:pPr>
      <w:bookmarkStart w:id="9" w:name="_Toc61769618"/>
      <w:r>
        <w:t xml:space="preserve">The monitoring periodicity of search space is an integer multiple of the bundle size </w:t>
      </w:r>
      <w:r w:rsidR="00BE03AF">
        <w:t xml:space="preserve">B </w:t>
      </w:r>
      <w:r>
        <w:t xml:space="preserve">used to define UE PDCCH processing capabilities per </w:t>
      </w:r>
      <w:r w:rsidR="00BE03AF">
        <w:t>bundle of B slots</w:t>
      </w:r>
      <w:r>
        <w:rPr>
          <w:rFonts w:eastAsiaTheme="minorEastAsia"/>
        </w:rPr>
        <w:t>.</w:t>
      </w:r>
      <w:bookmarkEnd w:id="9"/>
    </w:p>
    <w:p w14:paraId="368DE840" w14:textId="77777777" w:rsidR="00887F95" w:rsidRDefault="00887F95" w:rsidP="00591A94">
      <w:pPr>
        <w:pStyle w:val="BodyText"/>
      </w:pPr>
    </w:p>
    <w:p w14:paraId="665634FB" w14:textId="7E14C17A" w:rsidR="00B37F9E" w:rsidRDefault="00326802" w:rsidP="00FB1644">
      <w:pPr>
        <w:pStyle w:val="BodyText"/>
      </w:pPr>
      <w:r>
        <w:t xml:space="preserve">In </w:t>
      </w:r>
      <w:r w:rsidR="00B37F9E">
        <w:t xml:space="preserve">this section, we discuss two possible solutions to define the </w:t>
      </w:r>
      <w:r w:rsidR="004F6CB0">
        <w:t xml:space="preserve">bundled </w:t>
      </w:r>
      <w:r w:rsidR="00B37F9E">
        <w:t>UE PDCCH processing capabilities when PDCCH monitoring per multiple slots is deployed.</w:t>
      </w:r>
    </w:p>
    <w:p w14:paraId="4ED214C6" w14:textId="2DC46693" w:rsidR="007F0687" w:rsidRDefault="00B37F9E" w:rsidP="00FB1644">
      <w:pPr>
        <w:pStyle w:val="Heading3"/>
      </w:pPr>
      <w:r>
        <w:t>2.</w:t>
      </w:r>
      <w:r w:rsidR="00F774E0">
        <w:t>3</w:t>
      </w:r>
      <w:r w:rsidR="007F0687">
        <w:t>.1</w:t>
      </w:r>
      <w:r w:rsidR="007F0687" w:rsidRPr="00C81EDA">
        <w:tab/>
      </w:r>
      <w:r w:rsidR="00CE44A3">
        <w:t>C</w:t>
      </w:r>
      <w:r w:rsidR="007F0687">
        <w:t>apabilit</w:t>
      </w:r>
      <w:r w:rsidR="00560D6F">
        <w:t xml:space="preserve">y scaling </w:t>
      </w:r>
      <w:r w:rsidR="00016E27">
        <w:t>option</w:t>
      </w:r>
      <w:r w:rsidR="007F0687">
        <w:t xml:space="preserve"> 1</w:t>
      </w:r>
    </w:p>
    <w:p w14:paraId="27771CA8" w14:textId="4D74AF3C" w:rsidR="00553425" w:rsidRPr="000E4B12" w:rsidRDefault="00553425" w:rsidP="00553425">
      <w:pPr>
        <w:pStyle w:val="BodyText"/>
      </w:pPr>
      <w:r>
        <w:t xml:space="preserve">The potential reduction of </w:t>
      </w:r>
      <w:r w:rsidRPr="000E4B12">
        <w:t xml:space="preserve">UE PDCCH processing capabilities </w:t>
      </w:r>
      <w:r w:rsidRPr="004F69A1">
        <w:rPr>
          <w:u w:val="single"/>
        </w:rPr>
        <w:t>per slot</w:t>
      </w:r>
      <w:r>
        <w:t xml:space="preserve"> shown </w:t>
      </w:r>
      <w:r w:rsidR="009F0E7D">
        <w:t>previously</w:t>
      </w:r>
      <w:r>
        <w:t xml:space="preserve"> presents difficulties to maintain the same scheduling framework and flexibility as Rel-15 NR. It would impose substantial negative impacts to Rel-17 NR operation in 52.6 – 71 GHz if the </w:t>
      </w:r>
      <w:r w:rsidRPr="000E4B12">
        <w:t xml:space="preserve">UE PDCCH processing capabilities </w:t>
      </w:r>
      <w:r w:rsidRPr="00D7654C">
        <w:rPr>
          <w:u w:val="single"/>
        </w:rPr>
        <w:t xml:space="preserve">per </w:t>
      </w:r>
      <w:r>
        <w:rPr>
          <w:u w:val="single"/>
        </w:rPr>
        <w:t>multi-</w:t>
      </w:r>
      <w:r w:rsidRPr="00D7654C">
        <w:rPr>
          <w:u w:val="single"/>
        </w:rPr>
        <w:t>slot</w:t>
      </w:r>
      <w:r>
        <w:rPr>
          <w:u w:val="single"/>
        </w:rPr>
        <w:t xml:space="preserve"> </w:t>
      </w:r>
      <w:r w:rsidRPr="004F69A1">
        <w:t xml:space="preserve">monitoring period </w:t>
      </w:r>
      <w:r>
        <w:t xml:space="preserve">remain as restrictive when the UE is configured to monitor the PDCCH every </w:t>
      </w:r>
      <m:oMath>
        <m:r>
          <w:rPr>
            <w:rFonts w:ascii="Cambria Math" w:hAnsi="Cambria Math"/>
          </w:rPr>
          <m:t>B</m:t>
        </m:r>
      </m:oMath>
      <w:r>
        <w:t xml:space="preserve"> slots. Therefore, it will be beneficial </w:t>
      </w:r>
      <w:r w:rsidR="00BE03AF">
        <w:t>for</w:t>
      </w:r>
      <w:r>
        <w:t xml:space="preserve"> NR operation in 52.6 – 71 GHz to scale </w:t>
      </w:r>
      <w:r w:rsidRPr="000E4B12">
        <w:t>UE PDCCH processing capabilities</w:t>
      </w:r>
      <w:r>
        <w:t xml:space="preserve"> </w:t>
      </w:r>
      <w:r w:rsidRPr="004F69A1">
        <w:t xml:space="preserve">per </w:t>
      </w:r>
      <m:oMath>
        <m:r>
          <w:rPr>
            <w:rFonts w:ascii="Cambria Math" w:hAnsi="Cambria Math"/>
          </w:rPr>
          <m:t>B</m:t>
        </m:r>
      </m:oMath>
      <w:r>
        <w:rPr>
          <w:rFonts w:eastAsiaTheme="minorEastAsia"/>
        </w:rPr>
        <w:t>-slo</w:t>
      </w:r>
      <w:r w:rsidR="00FB1644">
        <w:rPr>
          <w:rFonts w:eastAsiaTheme="minorEastAsia"/>
        </w:rPr>
        <w:t>ts</w:t>
      </w:r>
      <w:r w:rsidRPr="00D7654C">
        <w:t xml:space="preserve"> </w:t>
      </w:r>
      <w:r>
        <w:t xml:space="preserve">with </w:t>
      </w:r>
      <w:r w:rsidR="00FB1644">
        <w:t xml:space="preserve">the </w:t>
      </w:r>
      <w:r w:rsidR="006D0AA2">
        <w:t>bundle size</w:t>
      </w:r>
      <w:r w:rsidR="00FB1644">
        <w:t xml:space="preserve"> B</w:t>
      </w:r>
      <w:r>
        <w:t>:</w:t>
      </w:r>
    </w:p>
    <w:p w14:paraId="1F932FF3" w14:textId="57EFF095" w:rsidR="00553425" w:rsidRPr="006249E3" w:rsidRDefault="009D54EF" w:rsidP="00553425">
      <w:pPr>
        <w:pStyle w:val="BodyText"/>
      </w:pPr>
      <m:oMathPara>
        <m:oMathParaPr>
          <m:jc m:val="centerGroup"/>
        </m:oMathParaPr>
        <m:oMath>
          <m:sSubSup>
            <m:sSubSupPr>
              <m:ctrlPr>
                <w:rPr>
                  <w:rFonts w:ascii="Cambria Math" w:hAnsi="Cambria Math"/>
                </w:rPr>
              </m:ctrlPr>
            </m:sSubSupPr>
            <m:e>
              <m:r>
                <w:rPr>
                  <w:rFonts w:ascii="Cambria Math" w:hAnsi="Cambria Math"/>
                </w:rPr>
                <m:t>N</m:t>
              </m:r>
            </m:e>
            <m:sub>
              <m:r>
                <m:rPr>
                  <m:sty m:val="p"/>
                </m:rPr>
                <w:rPr>
                  <w:rFonts w:ascii="Cambria Math" w:hAnsi="Cambria Math"/>
                </w:rPr>
                <m:t>BD</m:t>
              </m:r>
              <m:r>
                <m:rPr>
                  <m:sty m:val="p"/>
                </m:rPr>
                <w:rPr>
                  <w:rFonts w:ascii="Cambria Math" w:hAnsi="Cambria Math" w:cs="Times New Roman"/>
                </w:rPr>
                <m:t>, μ</m:t>
              </m:r>
            </m:sub>
            <m:sup>
              <m:r>
                <w:rPr>
                  <w:rFonts w:ascii="Cambria Math" w:hAnsi="Cambria Math" w:cs="Times New Roman"/>
                </w:rPr>
                <m:t>B</m:t>
              </m:r>
              <m:r>
                <m:rPr>
                  <m:nor/>
                </m:rPr>
                <w:rPr>
                  <w:rFonts w:ascii="Cambria Math" w:hAnsi="Cambria Math" w:cs="Times New Roman"/>
                </w:rPr>
                <m:t>-</m:t>
              </m:r>
              <m:r>
                <m:rPr>
                  <m:sty m:val="p"/>
                </m:rPr>
                <w:rPr>
                  <w:rFonts w:ascii="Cambria Math" w:hAnsi="Cambria Math"/>
                </w:rPr>
                <m:t>slot</m:t>
              </m:r>
            </m:sup>
          </m:sSubSup>
          <m:r>
            <w:rPr>
              <w:rFonts w:ascii="Cambria Math" w:hAnsi="Cambria Math"/>
            </w:rPr>
            <m:t>≅B×</m:t>
          </m:r>
          <m:sSubSup>
            <m:sSubSupPr>
              <m:ctrlPr>
                <w:rPr>
                  <w:rFonts w:ascii="Cambria Math" w:hAnsi="Cambria Math"/>
                </w:rPr>
              </m:ctrlPr>
            </m:sSubSupPr>
            <m:e>
              <m:r>
                <w:rPr>
                  <w:rFonts w:ascii="Cambria Math" w:hAnsi="Cambria Math"/>
                </w:rPr>
                <m:t>N</m:t>
              </m:r>
            </m:e>
            <m:sub>
              <m:r>
                <m:rPr>
                  <m:sty m:val="p"/>
                </m:rPr>
                <w:rPr>
                  <w:rFonts w:ascii="Cambria Math" w:hAnsi="Cambria Math"/>
                </w:rPr>
                <m:t>BD</m:t>
              </m:r>
              <m:r>
                <m:rPr>
                  <m:sty m:val="p"/>
                </m:rPr>
                <w:rPr>
                  <w:rFonts w:ascii="Cambria Math" w:hAnsi="Cambria Math" w:cs="Times New Roman"/>
                </w:rPr>
                <m:t>, μ</m:t>
              </m:r>
            </m:sub>
            <m:sup>
              <m:r>
                <m:rPr>
                  <m:sty m:val="p"/>
                </m:rPr>
                <w:rPr>
                  <w:rFonts w:ascii="Cambria Math" w:hAnsi="Cambria Math"/>
                </w:rPr>
                <m:t>slot</m:t>
              </m:r>
            </m:sup>
          </m:sSubSup>
        </m:oMath>
      </m:oMathPara>
    </w:p>
    <w:p w14:paraId="6CA34BBA" w14:textId="241893F2" w:rsidR="00553425" w:rsidRPr="006249E3" w:rsidRDefault="009D54EF" w:rsidP="00553425">
      <w:pPr>
        <w:pStyle w:val="BodyText"/>
        <w:rPr>
          <w:rFonts w:eastAsiaTheme="minorEastAsia"/>
        </w:rPr>
      </w:pPr>
      <m:oMathPara>
        <m:oMath>
          <m:sSubSup>
            <m:sSubSupPr>
              <m:ctrlPr>
                <w:rPr>
                  <w:rFonts w:ascii="Cambria Math" w:hAnsi="Cambria Math"/>
                </w:rPr>
              </m:ctrlPr>
            </m:sSubSupPr>
            <m:e>
              <m:r>
                <w:rPr>
                  <w:rFonts w:ascii="Cambria Math" w:hAnsi="Cambria Math"/>
                </w:rPr>
                <m:t>N</m:t>
              </m:r>
            </m:e>
            <m:sub>
              <m:r>
                <m:rPr>
                  <m:sty m:val="p"/>
                </m:rPr>
                <w:rPr>
                  <w:rFonts w:ascii="Cambria Math" w:hAnsi="Cambria Math"/>
                </w:rPr>
                <m:t>CCE</m:t>
              </m:r>
              <m:r>
                <m:rPr>
                  <m:sty m:val="p"/>
                </m:rPr>
                <w:rPr>
                  <w:rFonts w:ascii="Cambria Math" w:hAnsi="Cambria Math" w:cs="Times New Roman"/>
                </w:rPr>
                <m:t>, μ</m:t>
              </m:r>
            </m:sub>
            <m:sup>
              <m:r>
                <w:rPr>
                  <w:rFonts w:ascii="Cambria Math" w:hAnsi="Cambria Math" w:cs="Times New Roman"/>
                </w:rPr>
                <m:t>B</m:t>
              </m:r>
              <m:r>
                <m:rPr>
                  <m:nor/>
                </m:rPr>
                <w:rPr>
                  <w:rFonts w:ascii="Cambria Math" w:hAnsi="Cambria Math" w:cs="Times New Roman"/>
                </w:rPr>
                <m:t>-</m:t>
              </m:r>
              <m:r>
                <m:rPr>
                  <m:sty m:val="p"/>
                </m:rPr>
                <w:rPr>
                  <w:rFonts w:ascii="Cambria Math" w:hAnsi="Cambria Math"/>
                </w:rPr>
                <m:t>slot</m:t>
              </m:r>
            </m:sup>
          </m:sSubSup>
          <m:r>
            <m:rPr>
              <m:sty m:val="p"/>
            </m:rPr>
            <w:rPr>
              <w:rFonts w:ascii="Cambria Math" w:hAnsi="Cambria Math"/>
            </w:rPr>
            <m:t>≅</m:t>
          </m:r>
          <m:r>
            <w:rPr>
              <w:rFonts w:ascii="Cambria Math" w:hAnsi="Cambria Math"/>
            </w:rPr>
            <m:t>B</m:t>
          </m:r>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CCE</m:t>
              </m:r>
              <m:r>
                <m:rPr>
                  <m:sty m:val="p"/>
                </m:rPr>
                <w:rPr>
                  <w:rFonts w:ascii="Cambria Math" w:hAnsi="Cambria Math" w:cs="Times New Roman"/>
                </w:rPr>
                <m:t>, μ</m:t>
              </m:r>
            </m:sub>
            <m:sup>
              <m:r>
                <m:rPr>
                  <m:sty m:val="p"/>
                </m:rPr>
                <w:rPr>
                  <w:rFonts w:ascii="Cambria Math" w:hAnsi="Cambria Math"/>
                </w:rPr>
                <m:t>slot</m:t>
              </m:r>
            </m:sup>
          </m:sSubSup>
        </m:oMath>
      </m:oMathPara>
    </w:p>
    <w:p w14:paraId="2BC6FA0E" w14:textId="77777777" w:rsidR="005363A7" w:rsidRPr="00B04ED4" w:rsidRDefault="005363A7" w:rsidP="00553425">
      <w:pPr>
        <w:pStyle w:val="BodyText"/>
      </w:pPr>
    </w:p>
    <w:p w14:paraId="55C2D159" w14:textId="48586DD4" w:rsidR="00093ADF" w:rsidRDefault="00093ADF" w:rsidP="00093ADF">
      <w:pPr>
        <w:pStyle w:val="Proposal"/>
        <w:tabs>
          <w:tab w:val="num" w:pos="1304"/>
        </w:tabs>
        <w:overflowPunct w:val="0"/>
        <w:autoSpaceDE w:val="0"/>
        <w:autoSpaceDN w:val="0"/>
        <w:adjustRightInd w:val="0"/>
        <w:spacing w:line="240" w:lineRule="auto"/>
        <w:ind w:left="1304" w:hanging="1304"/>
        <w:textAlignment w:val="baseline"/>
      </w:pPr>
      <w:bookmarkStart w:id="10" w:name="_Toc53776234"/>
      <w:bookmarkStart w:id="11" w:name="_Toc61769619"/>
      <w:r>
        <w:t xml:space="preserve">A first approach to define </w:t>
      </w:r>
      <w:r w:rsidR="00307D89">
        <w:t xml:space="preserve">the UE PDCCH processing capabilities when PDCCH monitoring </w:t>
      </w:r>
      <w:r w:rsidR="0080536C">
        <w:t xml:space="preserve">per multiple slots </w:t>
      </w:r>
      <w:r w:rsidR="00307D89">
        <w:t xml:space="preserve">is deployed </w:t>
      </w:r>
      <w:r w:rsidR="00ED5155">
        <w:t xml:space="preserve">for larger SCS </w:t>
      </w:r>
      <w:r w:rsidR="00307D89">
        <w:t xml:space="preserve">is </w:t>
      </w:r>
      <w:r w:rsidR="00426599">
        <w:t xml:space="preserve">to </w:t>
      </w:r>
      <w:r w:rsidR="00893B06">
        <w:t xml:space="preserve">scale </w:t>
      </w:r>
      <w:r w:rsidR="00426599">
        <w:t xml:space="preserve">the </w:t>
      </w:r>
      <w:r w:rsidRPr="000E4B12">
        <w:t>UE PDCCH processing capabilities</w:t>
      </w:r>
      <w:r>
        <w:t xml:space="preserve"> </w:t>
      </w:r>
      <w:r w:rsidR="00893B06">
        <w:t xml:space="preserve">per </w:t>
      </w:r>
      <m:oMath>
        <m:r>
          <m:rPr>
            <m:sty m:val="bi"/>
          </m:rPr>
          <w:rPr>
            <w:rFonts w:ascii="Cambria Math" w:hAnsi="Cambria Math"/>
          </w:rPr>
          <m:t>B</m:t>
        </m:r>
      </m:oMath>
      <w:r w:rsidR="006563F7">
        <w:rPr>
          <w:rFonts w:eastAsiaTheme="minorEastAsia"/>
        </w:rPr>
        <w:t xml:space="preserve"> </w:t>
      </w:r>
      <w:r w:rsidR="00893B06">
        <w:t>slot</w:t>
      </w:r>
      <w:r w:rsidR="00FB1644">
        <w:t>s</w:t>
      </w:r>
      <w:r w:rsidR="00893B06">
        <w:t xml:space="preserve"> with the </w:t>
      </w:r>
      <w:r w:rsidR="00A11DA5">
        <w:t>bundle size</w:t>
      </w:r>
      <w:r w:rsidR="00FB1644">
        <w:t xml:space="preserve"> B</w:t>
      </w:r>
      <w:r>
        <w:t>.</w:t>
      </w:r>
      <w:bookmarkEnd w:id="10"/>
      <w:r w:rsidR="005363A7">
        <w:t xml:space="preserve"> That is, </w:t>
      </w:r>
      <w:r w:rsidR="00AB242D">
        <w:t>the bundled UE PDCCH processing capabilities are</w:t>
      </w:r>
      <w:r w:rsidR="005363A7">
        <w:t xml:space="preserve"> </w:t>
      </w:r>
      <m:oMath>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BD</m:t>
            </m:r>
            <m:r>
              <m:rPr>
                <m:sty m:val="b"/>
              </m:rPr>
              <w:rPr>
                <w:rFonts w:ascii="Cambria Math" w:hAnsi="Cambria Math" w:cs="Times New Roman"/>
              </w:rPr>
              <m:t>, μ</m:t>
            </m:r>
          </m:sub>
          <m:sup>
            <m:r>
              <m:rPr>
                <m:sty m:val="bi"/>
              </m:rPr>
              <w:rPr>
                <w:rFonts w:ascii="Cambria Math" w:hAnsi="Cambria Math" w:cs="Times New Roman"/>
              </w:rPr>
              <m:t>B</m:t>
            </m:r>
            <m:r>
              <m:rPr>
                <m:nor/>
              </m:rPr>
              <w:rPr>
                <w:rFonts w:ascii="Cambria Math" w:hAnsi="Cambria Math" w:cs="Times New Roman"/>
              </w:rPr>
              <m:t>-</m:t>
            </m:r>
            <m:r>
              <m:rPr>
                <m:sty m:val="b"/>
              </m:rPr>
              <w:rPr>
                <w:rFonts w:ascii="Cambria Math" w:hAnsi="Cambria Math"/>
              </w:rPr>
              <m:t>slot</m:t>
            </m:r>
          </m:sup>
        </m:sSubSup>
        <m:r>
          <m:rPr>
            <m:sty m:val="bi"/>
          </m:rPr>
          <w:rPr>
            <w:rFonts w:ascii="Cambria Math" w:hAnsi="Cambria Math"/>
          </w:rPr>
          <m:t>≅B×</m:t>
        </m:r>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BD</m:t>
            </m:r>
            <m:r>
              <m:rPr>
                <m:sty m:val="b"/>
              </m:rPr>
              <w:rPr>
                <w:rFonts w:ascii="Cambria Math" w:hAnsi="Cambria Math" w:cs="Times New Roman"/>
              </w:rPr>
              <m:t>, μ</m:t>
            </m:r>
          </m:sub>
          <m:sup>
            <m:r>
              <m:rPr>
                <m:sty m:val="b"/>
              </m:rPr>
              <w:rPr>
                <w:rFonts w:ascii="Cambria Math" w:hAnsi="Cambria Math"/>
              </w:rPr>
              <m:t>slot</m:t>
            </m:r>
          </m:sup>
        </m:sSubSup>
      </m:oMath>
      <w:r w:rsidR="005363A7">
        <w:rPr>
          <w:rFonts w:eastAsiaTheme="minorEastAsia"/>
        </w:rPr>
        <w:t xml:space="preserve"> and </w:t>
      </w:r>
      <m:oMath>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CCE</m:t>
            </m:r>
            <m:r>
              <m:rPr>
                <m:sty m:val="b"/>
              </m:rPr>
              <w:rPr>
                <w:rFonts w:ascii="Cambria Math" w:hAnsi="Cambria Math" w:cs="Times New Roman"/>
              </w:rPr>
              <m:t>, μ</m:t>
            </m:r>
          </m:sub>
          <m:sup>
            <m:r>
              <m:rPr>
                <m:sty m:val="bi"/>
              </m:rPr>
              <w:rPr>
                <w:rFonts w:ascii="Cambria Math" w:hAnsi="Cambria Math" w:cs="Times New Roman"/>
              </w:rPr>
              <m:t>B</m:t>
            </m:r>
            <m:r>
              <m:rPr>
                <m:nor/>
              </m:rPr>
              <w:rPr>
                <w:rFonts w:ascii="Cambria Math" w:hAnsi="Cambria Math" w:cs="Times New Roman"/>
              </w:rPr>
              <m:t>-</m:t>
            </m:r>
            <m:r>
              <m:rPr>
                <m:sty m:val="b"/>
              </m:rPr>
              <w:rPr>
                <w:rFonts w:ascii="Cambria Math" w:hAnsi="Cambria Math"/>
              </w:rPr>
              <m:t>slot</m:t>
            </m:r>
          </m:sup>
        </m:sSubSup>
        <m:r>
          <m:rPr>
            <m:sty m:val="b"/>
          </m:rPr>
          <w:rPr>
            <w:rFonts w:ascii="Cambria Math" w:hAnsi="Cambria Math"/>
          </w:rPr>
          <m:t>≅</m:t>
        </m:r>
        <m:r>
          <m:rPr>
            <m:sty m:val="bi"/>
          </m:rPr>
          <w:rPr>
            <w:rFonts w:ascii="Cambria Math" w:hAnsi="Cambria Math"/>
          </w:rPr>
          <m:t>B</m:t>
        </m:r>
        <m:r>
          <m:rPr>
            <m:sty m:val="b"/>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CCE</m:t>
            </m:r>
            <m:r>
              <m:rPr>
                <m:sty m:val="b"/>
              </m:rPr>
              <w:rPr>
                <w:rFonts w:ascii="Cambria Math" w:hAnsi="Cambria Math" w:cs="Times New Roman"/>
              </w:rPr>
              <m:t>, μ</m:t>
            </m:r>
          </m:sub>
          <m:sup>
            <m:r>
              <m:rPr>
                <m:sty m:val="b"/>
              </m:rPr>
              <w:rPr>
                <w:rFonts w:ascii="Cambria Math" w:hAnsi="Cambria Math"/>
              </w:rPr>
              <m:t>slot</m:t>
            </m:r>
          </m:sup>
        </m:sSubSup>
      </m:oMath>
      <w:r w:rsidR="005363A7">
        <w:rPr>
          <w:rFonts w:eastAsiaTheme="minorEastAsia"/>
        </w:rPr>
        <w:t>.</w:t>
      </w:r>
      <w:bookmarkEnd w:id="11"/>
    </w:p>
    <w:p w14:paraId="2831064F" w14:textId="77777777" w:rsidR="00602B7C" w:rsidRDefault="00602B7C" w:rsidP="00602B7C">
      <w:pPr>
        <w:pStyle w:val="BodyText"/>
      </w:pPr>
    </w:p>
    <w:p w14:paraId="42BDD0ED" w14:textId="55E67007" w:rsidR="00602B7C" w:rsidRDefault="00E21356" w:rsidP="00602B7C">
      <w:pPr>
        <w:pStyle w:val="BodyText"/>
      </w:pPr>
      <w:r>
        <w:t xml:space="preserve">With this first capability scaling solution, it is in principle possible to </w:t>
      </w:r>
      <w:r w:rsidR="002D6C4C">
        <w:t xml:space="preserve">support </w:t>
      </w:r>
      <w:r w:rsidR="00895498">
        <w:t xml:space="preserve">any </w:t>
      </w:r>
      <w:r w:rsidR="00586E84">
        <w:t>bundle size</w:t>
      </w:r>
      <w:r w:rsidR="00E31A92">
        <w:t xml:space="preserve">. However, it may be </w:t>
      </w:r>
      <w:r w:rsidR="005A2347">
        <w:t xml:space="preserve">difficult or </w:t>
      </w:r>
      <w:r w:rsidR="00E31A92">
        <w:t xml:space="preserve">impractical </w:t>
      </w:r>
      <w:r w:rsidR="00D079BD" w:rsidRPr="00D079BD">
        <w:t>for UE implementation to optimize the hardware and software timelines to support</w:t>
      </w:r>
      <w:r w:rsidR="00D079BD">
        <w:t xml:space="preserve"> </w:t>
      </w:r>
      <w:r w:rsidR="007075DD">
        <w:t xml:space="preserve">various </w:t>
      </w:r>
      <w:r w:rsidR="004407C5">
        <w:t xml:space="preserve">required UE processing capabilities </w:t>
      </w:r>
      <w:r w:rsidR="007E636C">
        <w:t xml:space="preserve">associated with </w:t>
      </w:r>
      <w:r w:rsidR="001A4F3E">
        <w:t xml:space="preserve">arbitrary </w:t>
      </w:r>
      <w:r w:rsidR="007E636C">
        <w:t xml:space="preserve">flexible </w:t>
      </w:r>
      <w:r w:rsidR="00D14003">
        <w:t>bundle sizes</w:t>
      </w:r>
      <w:r w:rsidR="001A4F3E">
        <w:t xml:space="preserve">. </w:t>
      </w:r>
      <w:r w:rsidR="00E730AB">
        <w:t xml:space="preserve">It will be beneficial for RAN1 to </w:t>
      </w:r>
      <w:r w:rsidR="0048328D">
        <w:t xml:space="preserve">narrow down the </w:t>
      </w:r>
      <w:r w:rsidR="0028615B">
        <w:t xml:space="preserve">bundle size </w:t>
      </w:r>
      <w:r w:rsidR="00C1267B">
        <w:t>value</w:t>
      </w:r>
      <w:r w:rsidR="00712546">
        <w:t>s</w:t>
      </w:r>
      <w:r w:rsidR="00C1267B">
        <w:t xml:space="preserve"> </w:t>
      </w:r>
      <w:r w:rsidR="00B6221B">
        <w:t>to those</w:t>
      </w:r>
      <w:r w:rsidR="00C1267B">
        <w:t xml:space="preserve"> bene</w:t>
      </w:r>
      <w:r w:rsidR="0065579E">
        <w:t>ficial to system operations</w:t>
      </w:r>
      <w:r w:rsidR="00712546">
        <w:t xml:space="preserve"> such that the specs and implementation </w:t>
      </w:r>
      <w:r w:rsidR="00675F35">
        <w:t>are not over-burdened.</w:t>
      </w:r>
    </w:p>
    <w:p w14:paraId="1F9FA5EA" w14:textId="77777777" w:rsidR="00BF35ED" w:rsidRDefault="00BF35ED" w:rsidP="00602B7C">
      <w:pPr>
        <w:pStyle w:val="BodyText"/>
      </w:pPr>
    </w:p>
    <w:p w14:paraId="6E2611F8" w14:textId="25D6D336" w:rsidR="00675F35" w:rsidRPr="00602B7C" w:rsidRDefault="00675F35" w:rsidP="00675F35">
      <w:pPr>
        <w:pStyle w:val="Proposal"/>
        <w:tabs>
          <w:tab w:val="num" w:pos="1304"/>
        </w:tabs>
        <w:overflowPunct w:val="0"/>
        <w:autoSpaceDE w:val="0"/>
        <w:autoSpaceDN w:val="0"/>
        <w:adjustRightInd w:val="0"/>
        <w:spacing w:line="240" w:lineRule="auto"/>
        <w:ind w:left="1304" w:hanging="1304"/>
        <w:textAlignment w:val="baseline"/>
      </w:pPr>
      <w:bookmarkStart w:id="12" w:name="_Toc61769620"/>
      <w:r>
        <w:t xml:space="preserve">RAN1 </w:t>
      </w:r>
      <w:r w:rsidR="00201FB6">
        <w:t>strives to</w:t>
      </w:r>
      <w:r w:rsidR="00E365AA">
        <w:t xml:space="preserve"> </w:t>
      </w:r>
      <w:r w:rsidR="00CD7432">
        <w:t xml:space="preserve">narrow down the supported PDCCH monitoring </w:t>
      </w:r>
      <w:r w:rsidR="00D14003">
        <w:t>bundle size</w:t>
      </w:r>
      <w:r w:rsidR="00CD7432">
        <w:t xml:space="preserve"> values </w:t>
      </w:r>
      <w:r w:rsidR="00B6221B">
        <w:t>to those</w:t>
      </w:r>
      <w:r w:rsidR="00CD7432">
        <w:t xml:space="preserve"> beneficial to system operations and implementation</w:t>
      </w:r>
      <w:r>
        <w:rPr>
          <w:rFonts w:eastAsiaTheme="minorEastAsia"/>
        </w:rPr>
        <w:t>.</w:t>
      </w:r>
      <w:bookmarkEnd w:id="12"/>
    </w:p>
    <w:p w14:paraId="2E113D27" w14:textId="77777777" w:rsidR="00602B7C" w:rsidRDefault="00602B7C" w:rsidP="00602B7C">
      <w:pPr>
        <w:pStyle w:val="BodyText"/>
      </w:pPr>
    </w:p>
    <w:p w14:paraId="1452CD79" w14:textId="3D718E6B" w:rsidR="00560D6F" w:rsidRDefault="00560D6F" w:rsidP="00FB1644">
      <w:pPr>
        <w:pStyle w:val="Heading3"/>
      </w:pPr>
      <w:r>
        <w:t>2.</w:t>
      </w:r>
      <w:r w:rsidR="00F774E0">
        <w:t>3</w:t>
      </w:r>
      <w:r>
        <w:t>.</w:t>
      </w:r>
      <w:r w:rsidR="00CE4FEE">
        <w:t>2</w:t>
      </w:r>
      <w:r w:rsidRPr="00C81EDA">
        <w:tab/>
      </w:r>
      <w:r w:rsidR="00682FF5">
        <w:t>C</w:t>
      </w:r>
      <w:r>
        <w:t xml:space="preserve">apability scaling </w:t>
      </w:r>
      <w:r w:rsidR="00016E27">
        <w:t xml:space="preserve">option </w:t>
      </w:r>
      <w:r>
        <w:t>2</w:t>
      </w:r>
    </w:p>
    <w:p w14:paraId="47B487BB" w14:textId="47581DC6" w:rsidR="00A54A4B" w:rsidRDefault="00D43B50" w:rsidP="00416521">
      <w:pPr>
        <w:pStyle w:val="BodyText"/>
      </w:pPr>
      <w:r>
        <w:t xml:space="preserve">Toward narrowing down the supported PDCCH monitoring </w:t>
      </w:r>
      <w:r w:rsidR="004A64DA">
        <w:t xml:space="preserve">bundle </w:t>
      </w:r>
      <w:r>
        <w:t xml:space="preserve">values, </w:t>
      </w:r>
      <w:r w:rsidR="00CD08EC">
        <w:t>a</w:t>
      </w:r>
      <w:r w:rsidR="00EE177D">
        <w:t xml:space="preserve"> second </w:t>
      </w:r>
      <w:r w:rsidR="00801782">
        <w:t xml:space="preserve">possible </w:t>
      </w:r>
      <w:r w:rsidR="00EE177D">
        <w:t xml:space="preserve">solution </w:t>
      </w:r>
      <w:r w:rsidR="00801782">
        <w:t xml:space="preserve">is to maintain the same </w:t>
      </w:r>
      <w:r w:rsidR="00801782" w:rsidRPr="00801782">
        <w:t>scheduling framework</w:t>
      </w:r>
      <w:r w:rsidR="00801782">
        <w:t xml:space="preserve"> </w:t>
      </w:r>
      <w:r w:rsidR="00F2131E">
        <w:t xml:space="preserve">and capacity </w:t>
      </w:r>
      <w:r w:rsidR="000B2806">
        <w:t xml:space="preserve">as </w:t>
      </w:r>
      <w:r w:rsidR="00906B49">
        <w:t xml:space="preserve">a </w:t>
      </w:r>
      <w:r w:rsidR="000B2806">
        <w:t xml:space="preserve">120 kHz SCS </w:t>
      </w:r>
      <w:r w:rsidR="00906B49">
        <w:t xml:space="preserve">system </w:t>
      </w:r>
      <w:r w:rsidR="00355601">
        <w:t xml:space="preserve">for </w:t>
      </w:r>
      <w:r w:rsidR="00E56CDA">
        <w:t>larger SCS with PDCCH monitoring</w:t>
      </w:r>
      <w:r w:rsidR="00FB15B0">
        <w:t xml:space="preserve"> per multiple slots</w:t>
      </w:r>
      <w:r w:rsidR="00E56CDA">
        <w:t xml:space="preserve">. </w:t>
      </w:r>
      <w:r w:rsidR="001C0145">
        <w:t>For</w:t>
      </w:r>
      <w:r w:rsidR="00E536F8">
        <w:t xml:space="preserve"> instance</w:t>
      </w:r>
      <w:r w:rsidR="001C0145">
        <w:t xml:space="preserve">, </w:t>
      </w:r>
      <w:r w:rsidR="00E536F8">
        <w:t xml:space="preserve">PDCCH monitoring every </w:t>
      </w:r>
      <m:oMath>
        <m:r>
          <w:rPr>
            <w:rFonts w:ascii="Cambria Math" w:hAnsi="Cambria Math"/>
          </w:rPr>
          <m:t>B=4</m:t>
        </m:r>
      </m:oMath>
      <w:r w:rsidR="00E536F8">
        <w:rPr>
          <w:rFonts w:eastAsiaTheme="minorEastAsia"/>
        </w:rPr>
        <w:t xml:space="preserve"> slots can be deployed for 480 kHz SCS</w:t>
      </w:r>
      <w:r w:rsidR="00425DA9">
        <w:rPr>
          <w:rFonts w:eastAsiaTheme="minorEastAsia"/>
        </w:rPr>
        <w:t xml:space="preserve">. </w:t>
      </w:r>
      <w:r w:rsidR="003F755F">
        <w:rPr>
          <w:rFonts w:eastAsiaTheme="minorEastAsia"/>
        </w:rPr>
        <w:t>T</w:t>
      </w:r>
      <w:r w:rsidR="00425DA9">
        <w:rPr>
          <w:rFonts w:eastAsiaTheme="minorEastAsia"/>
        </w:rPr>
        <w:t>he UE</w:t>
      </w:r>
      <w:r w:rsidR="00425DA9" w:rsidRPr="000E4B12">
        <w:t xml:space="preserve"> PDCCH processing capabilities</w:t>
      </w:r>
      <w:r w:rsidR="00425DA9">
        <w:t xml:space="preserve"> per 4-slot </w:t>
      </w:r>
      <w:r w:rsidR="003F755F">
        <w:t xml:space="preserve">monitoring </w:t>
      </w:r>
      <w:r w:rsidR="00635D16">
        <w:t>bundle</w:t>
      </w:r>
      <w:r w:rsidR="003F755F">
        <w:t xml:space="preserve"> can then be defined as</w:t>
      </w:r>
    </w:p>
    <w:p w14:paraId="0A01D1FB" w14:textId="79AEB62A" w:rsidR="003F755F" w:rsidRPr="006249E3" w:rsidRDefault="009D54EF" w:rsidP="003F755F">
      <w:pPr>
        <w:pStyle w:val="BodyText"/>
      </w:pPr>
      <m:oMathPara>
        <m:oMathParaPr>
          <m:jc m:val="centerGroup"/>
        </m:oMathParaPr>
        <m:oMath>
          <m:sSubSup>
            <m:sSubSupPr>
              <m:ctrlPr>
                <w:rPr>
                  <w:rFonts w:ascii="Cambria Math" w:hAnsi="Cambria Math" w:cs="Times New Roman"/>
                </w:rPr>
              </m:ctrlPr>
            </m:sSubSupPr>
            <m:e>
              <m:r>
                <w:rPr>
                  <w:rFonts w:ascii="Cambria Math" w:hAnsi="Cambria Math" w:cs="Times New Roman"/>
                </w:rPr>
                <m:t>N</m:t>
              </m:r>
            </m:e>
            <m:sub>
              <m:r>
                <m:rPr>
                  <m:sty m:val="p"/>
                </m:rPr>
                <w:rPr>
                  <w:rFonts w:ascii="Cambria Math" w:hAnsi="Cambria Math" w:cs="Times New Roman"/>
                </w:rPr>
                <m:t xml:space="preserve">BD, </m:t>
              </m:r>
              <m:r>
                <w:rPr>
                  <w:rFonts w:ascii="Cambria Math" w:hAnsi="Cambria Math" w:cs="Times New Roman"/>
                </w:rPr>
                <m:t>μ</m:t>
              </m:r>
              <m:r>
                <m:rPr>
                  <m:sty m:val="p"/>
                </m:rPr>
                <w:rPr>
                  <w:rFonts w:ascii="Cambria Math" w:hAnsi="Cambria Math" w:cs="Times New Roman"/>
                </w:rPr>
                <m:t>=5</m:t>
              </m:r>
            </m:sub>
            <m:sup>
              <m:r>
                <m:rPr>
                  <m:sty m:val="p"/>
                </m:rPr>
                <w:rPr>
                  <w:rFonts w:ascii="Cambria Math" w:hAnsi="Cambria Math" w:cs="Times New Roman"/>
                </w:rPr>
                <m:t>4</m:t>
              </m:r>
              <m:r>
                <m:rPr>
                  <m:nor/>
                </m:rPr>
                <w:rPr>
                  <w:rFonts w:ascii="Cambria Math" w:hAnsi="Cambria Math" w:cs="Times New Roman"/>
                </w:rPr>
                <m:t>-</m:t>
              </m:r>
              <m:r>
                <m:rPr>
                  <m:sty m:val="p"/>
                </m:rPr>
                <w:rPr>
                  <w:rFonts w:ascii="Cambria Math" w:hAnsi="Cambria Math" w:cs="Times New Roman"/>
                </w:rPr>
                <m:t>slot</m:t>
              </m:r>
            </m:sup>
          </m:sSubSup>
          <m:r>
            <w:rPr>
              <w:rFonts w:ascii="Cambria Math" w:hAnsi="Cambria Math" w:cs="Times New Roman"/>
            </w:rPr>
            <m:t>=</m:t>
          </m:r>
          <m:sSubSup>
            <m:sSubSupPr>
              <m:ctrlPr>
                <w:rPr>
                  <w:rFonts w:ascii="Cambria Math" w:hAnsi="Cambria Math" w:cs="Times New Roman"/>
                </w:rPr>
              </m:ctrlPr>
            </m:sSubSupPr>
            <m:e>
              <m:r>
                <w:rPr>
                  <w:rFonts w:ascii="Cambria Math" w:hAnsi="Cambria Math" w:cs="Times New Roman"/>
                </w:rPr>
                <m:t>N</m:t>
              </m:r>
            </m:e>
            <m:sub>
              <m:r>
                <m:rPr>
                  <m:sty m:val="p"/>
                </m:rPr>
                <w:rPr>
                  <w:rFonts w:ascii="Cambria Math" w:hAnsi="Cambria Math" w:cs="Times New Roman"/>
                </w:rPr>
                <m:t>BD,</m:t>
              </m:r>
              <m:r>
                <w:rPr>
                  <w:rFonts w:ascii="Cambria Math" w:hAnsi="Cambria Math" w:cs="Times New Roman"/>
                </w:rPr>
                <m:t>μ</m:t>
              </m:r>
              <m:r>
                <m:rPr>
                  <m:sty m:val="p"/>
                </m:rPr>
                <w:rPr>
                  <w:rFonts w:ascii="Cambria Math" w:hAnsi="Cambria Math" w:cs="Times New Roman"/>
                </w:rPr>
                <m:t>=3</m:t>
              </m:r>
            </m:sub>
            <m:sup>
              <m:r>
                <m:rPr>
                  <m:sty m:val="p"/>
                </m:rPr>
                <w:rPr>
                  <w:rFonts w:ascii="Cambria Math" w:hAnsi="Cambria Math" w:cs="Times New Roman"/>
                </w:rPr>
                <m:t>slot</m:t>
              </m:r>
            </m:sup>
          </m:sSubSup>
        </m:oMath>
      </m:oMathPara>
    </w:p>
    <w:p w14:paraId="02E13A84" w14:textId="5FCB92F9" w:rsidR="003F755F" w:rsidRPr="006249E3" w:rsidRDefault="009D54EF" w:rsidP="003F755F">
      <w:pPr>
        <w:pStyle w:val="BodyText"/>
      </w:pPr>
      <m:oMathPara>
        <m:oMath>
          <m:sSubSup>
            <m:sSubSupPr>
              <m:ctrlPr>
                <w:rPr>
                  <w:rFonts w:ascii="Cambria Math" w:hAnsi="Cambria Math"/>
                </w:rPr>
              </m:ctrlPr>
            </m:sSubSupPr>
            <m:e>
              <m:r>
                <w:rPr>
                  <w:rFonts w:ascii="Cambria Math" w:hAnsi="Cambria Math"/>
                </w:rPr>
                <m:t>N</m:t>
              </m:r>
            </m:e>
            <m:sub>
              <m:r>
                <m:rPr>
                  <m:sty m:val="p"/>
                </m:rPr>
                <w:rPr>
                  <w:rFonts w:ascii="Cambria Math" w:hAnsi="Cambria Math"/>
                </w:rPr>
                <m:t>CCE,</m:t>
              </m:r>
              <m:r>
                <w:rPr>
                  <w:rFonts w:ascii="Cambria Math" w:hAnsi="Cambria Math" w:cs="Times New Roman"/>
                </w:rPr>
                <m:t>μ</m:t>
              </m:r>
              <m:r>
                <m:rPr>
                  <m:sty m:val="p"/>
                </m:rPr>
                <w:rPr>
                  <w:rFonts w:ascii="Cambria Math" w:hAnsi="Cambria Math" w:cs="Times New Roman"/>
                </w:rPr>
                <m:t>=5</m:t>
              </m:r>
            </m:sub>
            <m:sup>
              <m:r>
                <m:rPr>
                  <m:sty m:val="p"/>
                </m:rPr>
                <w:rPr>
                  <w:rFonts w:ascii="Cambria Math" w:hAnsi="Cambria Math"/>
                </w:rPr>
                <m:t>4</m:t>
              </m:r>
              <m:r>
                <m:rPr>
                  <m:nor/>
                </m:rPr>
                <w:rPr>
                  <w:rFonts w:ascii="Cambria Math" w:hAnsi="Cambria Math" w:cs="Times New Roman"/>
                </w:rPr>
                <m:t>-</m:t>
              </m:r>
              <m:r>
                <m:rPr>
                  <m:sty m:val="p"/>
                </m:rPr>
                <w:rPr>
                  <w:rFonts w:ascii="Cambria Math" w:hAnsi="Cambria Math"/>
                </w:rPr>
                <m:t>slot</m:t>
              </m:r>
            </m:sup>
          </m:sSubSup>
          <m: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CCE,</m:t>
              </m:r>
              <m:r>
                <w:rPr>
                  <w:rFonts w:ascii="Cambria Math" w:hAnsi="Cambria Math" w:cs="Times New Roman"/>
                </w:rPr>
                <m:t>μ</m:t>
              </m:r>
              <m:r>
                <m:rPr>
                  <m:sty m:val="p"/>
                </m:rPr>
                <w:rPr>
                  <w:rFonts w:ascii="Cambria Math" w:hAnsi="Cambria Math" w:cs="Times New Roman"/>
                </w:rPr>
                <m:t>=3</m:t>
              </m:r>
            </m:sub>
            <m:sup>
              <m:r>
                <m:rPr>
                  <m:sty m:val="p"/>
                </m:rPr>
                <w:rPr>
                  <w:rFonts w:ascii="Cambria Math" w:hAnsi="Cambria Math"/>
                </w:rPr>
                <m:t>slot</m:t>
              </m:r>
            </m:sup>
          </m:sSubSup>
        </m:oMath>
      </m:oMathPara>
    </w:p>
    <w:p w14:paraId="5C95E9D7" w14:textId="7BB666F9" w:rsidR="003F755F" w:rsidRDefault="00C54BED" w:rsidP="00416521">
      <w:pPr>
        <w:pStyle w:val="BodyText"/>
      </w:pPr>
      <w:r>
        <w:t xml:space="preserve">Similarly, the </w:t>
      </w:r>
      <w:r>
        <w:rPr>
          <w:rFonts w:eastAsiaTheme="minorEastAsia"/>
        </w:rPr>
        <w:t>UE</w:t>
      </w:r>
      <w:r w:rsidRPr="000E4B12">
        <w:t xml:space="preserve"> PDCCH processing capabilities</w:t>
      </w:r>
      <w:r>
        <w:t xml:space="preserve"> per 8-slot monitoring </w:t>
      </w:r>
      <w:r w:rsidR="00635D16">
        <w:t xml:space="preserve">bundle </w:t>
      </w:r>
      <w:r>
        <w:t>for 960 kHz SCS can then be defined as</w:t>
      </w:r>
    </w:p>
    <w:p w14:paraId="2900AB9D" w14:textId="2CC2B238" w:rsidR="00C54BED" w:rsidRPr="006249E3" w:rsidRDefault="009D54EF" w:rsidP="00C54BED">
      <w:pPr>
        <w:pStyle w:val="BodyText"/>
      </w:pPr>
      <m:oMathPara>
        <m:oMathParaPr>
          <m:jc m:val="centerGroup"/>
        </m:oMathParaPr>
        <m:oMath>
          <m:sSubSup>
            <m:sSubSupPr>
              <m:ctrlPr>
                <w:rPr>
                  <w:rFonts w:ascii="Cambria Math" w:hAnsi="Cambria Math" w:cs="Times New Roman"/>
                </w:rPr>
              </m:ctrlPr>
            </m:sSubSupPr>
            <m:e>
              <m:r>
                <w:rPr>
                  <w:rFonts w:ascii="Cambria Math" w:hAnsi="Cambria Math" w:cs="Times New Roman"/>
                </w:rPr>
                <m:t>N</m:t>
              </m:r>
            </m:e>
            <m:sub>
              <m:r>
                <m:rPr>
                  <m:sty m:val="p"/>
                </m:rPr>
                <w:rPr>
                  <w:rFonts w:ascii="Cambria Math" w:hAnsi="Cambria Math" w:cs="Times New Roman"/>
                </w:rPr>
                <m:t>BD,</m:t>
              </m:r>
              <m:r>
                <w:rPr>
                  <w:rFonts w:ascii="Cambria Math" w:hAnsi="Cambria Math" w:cs="Times New Roman"/>
                </w:rPr>
                <m:t>μ</m:t>
              </m:r>
              <m:r>
                <m:rPr>
                  <m:sty m:val="p"/>
                </m:rPr>
                <w:rPr>
                  <w:rFonts w:ascii="Cambria Math" w:hAnsi="Cambria Math" w:cs="Times New Roman"/>
                </w:rPr>
                <m:t>=6</m:t>
              </m:r>
            </m:sub>
            <m:sup>
              <m:r>
                <m:rPr>
                  <m:sty m:val="p"/>
                </m:rPr>
                <w:rPr>
                  <w:rFonts w:ascii="Cambria Math" w:hAnsi="Cambria Math" w:cs="Times New Roman"/>
                </w:rPr>
                <m:t>8</m:t>
              </m:r>
              <m:r>
                <m:rPr>
                  <m:nor/>
                </m:rPr>
                <w:rPr>
                  <w:rFonts w:ascii="Cambria Math" w:hAnsi="Cambria Math" w:cs="Times New Roman"/>
                </w:rPr>
                <m:t>-</m:t>
              </m:r>
              <m:r>
                <m:rPr>
                  <m:sty m:val="p"/>
                </m:rPr>
                <w:rPr>
                  <w:rFonts w:ascii="Cambria Math" w:hAnsi="Cambria Math" w:cs="Times New Roman"/>
                </w:rPr>
                <m:t>slot</m:t>
              </m:r>
            </m:sup>
          </m:sSubSup>
          <m:r>
            <w:rPr>
              <w:rFonts w:ascii="Cambria Math" w:hAnsi="Cambria Math" w:cs="Times New Roman"/>
            </w:rPr>
            <m:t>=</m:t>
          </m:r>
          <m:sSubSup>
            <m:sSubSupPr>
              <m:ctrlPr>
                <w:rPr>
                  <w:rFonts w:ascii="Cambria Math" w:hAnsi="Cambria Math" w:cs="Times New Roman"/>
                </w:rPr>
              </m:ctrlPr>
            </m:sSubSupPr>
            <m:e>
              <m:r>
                <w:rPr>
                  <w:rFonts w:ascii="Cambria Math" w:hAnsi="Cambria Math" w:cs="Times New Roman"/>
                </w:rPr>
                <m:t>N</m:t>
              </m:r>
            </m:e>
            <m:sub>
              <m:r>
                <m:rPr>
                  <m:sty m:val="p"/>
                </m:rPr>
                <w:rPr>
                  <w:rFonts w:ascii="Cambria Math" w:hAnsi="Cambria Math" w:cs="Times New Roman"/>
                </w:rPr>
                <m:t>BD,</m:t>
              </m:r>
              <m:r>
                <w:rPr>
                  <w:rFonts w:ascii="Cambria Math" w:hAnsi="Cambria Math" w:cs="Times New Roman"/>
                </w:rPr>
                <m:t>μ</m:t>
              </m:r>
              <m:r>
                <m:rPr>
                  <m:sty m:val="p"/>
                </m:rPr>
                <w:rPr>
                  <w:rFonts w:ascii="Cambria Math" w:hAnsi="Cambria Math" w:cs="Times New Roman"/>
                </w:rPr>
                <m:t>=3</m:t>
              </m:r>
            </m:sub>
            <m:sup>
              <m:r>
                <m:rPr>
                  <m:sty m:val="p"/>
                </m:rPr>
                <w:rPr>
                  <w:rFonts w:ascii="Cambria Math" w:hAnsi="Cambria Math" w:cs="Times New Roman"/>
                </w:rPr>
                <m:t>slot</m:t>
              </m:r>
            </m:sup>
          </m:sSubSup>
        </m:oMath>
      </m:oMathPara>
    </w:p>
    <w:p w14:paraId="19C472FD" w14:textId="58EF781B" w:rsidR="00C54BED" w:rsidRPr="006249E3" w:rsidRDefault="009D54EF" w:rsidP="00C54BED">
      <w:pPr>
        <w:pStyle w:val="BodyText"/>
        <w:rPr>
          <w:rFonts w:eastAsiaTheme="minorEastAsia"/>
        </w:rPr>
      </w:pPr>
      <m:oMathPara>
        <m:oMath>
          <m:sSubSup>
            <m:sSubSupPr>
              <m:ctrlPr>
                <w:rPr>
                  <w:rFonts w:ascii="Cambria Math" w:hAnsi="Cambria Math"/>
                </w:rPr>
              </m:ctrlPr>
            </m:sSubSupPr>
            <m:e>
              <m:r>
                <w:rPr>
                  <w:rFonts w:ascii="Cambria Math" w:hAnsi="Cambria Math"/>
                </w:rPr>
                <m:t>N</m:t>
              </m:r>
            </m:e>
            <m:sub>
              <m:r>
                <m:rPr>
                  <m:sty m:val="p"/>
                </m:rPr>
                <w:rPr>
                  <w:rFonts w:ascii="Cambria Math" w:hAnsi="Cambria Math"/>
                </w:rPr>
                <m:t>CCE,</m:t>
              </m:r>
              <m:r>
                <w:rPr>
                  <w:rFonts w:ascii="Cambria Math" w:hAnsi="Cambria Math" w:cs="Times New Roman"/>
                </w:rPr>
                <m:t>μ</m:t>
              </m:r>
              <m:r>
                <m:rPr>
                  <m:sty m:val="p"/>
                </m:rPr>
                <w:rPr>
                  <w:rFonts w:ascii="Cambria Math" w:hAnsi="Cambria Math" w:cs="Times New Roman"/>
                </w:rPr>
                <m:t>=6</m:t>
              </m:r>
            </m:sub>
            <m:sup>
              <m:r>
                <m:rPr>
                  <m:sty m:val="p"/>
                </m:rPr>
                <w:rPr>
                  <w:rFonts w:ascii="Cambria Math" w:hAnsi="Cambria Math"/>
                </w:rPr>
                <m:t>8</m:t>
              </m:r>
              <m:r>
                <m:rPr>
                  <m:nor/>
                </m:rPr>
                <w:rPr>
                  <w:rFonts w:ascii="Cambria Math" w:hAnsi="Cambria Math" w:cs="Times New Roman"/>
                </w:rPr>
                <m:t>-</m:t>
              </m:r>
              <m:r>
                <m:rPr>
                  <m:sty m:val="p"/>
                </m:rPr>
                <w:rPr>
                  <w:rFonts w:ascii="Cambria Math" w:hAnsi="Cambria Math"/>
                </w:rPr>
                <m:t>slot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CCE,</m:t>
              </m:r>
              <m:r>
                <w:rPr>
                  <w:rFonts w:ascii="Cambria Math" w:hAnsi="Cambria Math" w:cs="Times New Roman"/>
                </w:rPr>
                <m:t>μ</m:t>
              </m:r>
              <m:r>
                <m:rPr>
                  <m:sty m:val="p"/>
                </m:rPr>
                <w:rPr>
                  <w:rFonts w:ascii="Cambria Math" w:hAnsi="Cambria Math" w:cs="Times New Roman"/>
                </w:rPr>
                <m:t>=3</m:t>
              </m:r>
            </m:sub>
            <m:sup>
              <m:r>
                <m:rPr>
                  <m:sty m:val="p"/>
                </m:rPr>
                <w:rPr>
                  <w:rFonts w:ascii="Cambria Math" w:hAnsi="Cambria Math"/>
                </w:rPr>
                <m:t>slot</m:t>
              </m:r>
            </m:sup>
          </m:sSubSup>
        </m:oMath>
      </m:oMathPara>
    </w:p>
    <w:p w14:paraId="03E3E496" w14:textId="51FECEDF" w:rsidR="0052578F" w:rsidRDefault="0052578F" w:rsidP="00F34480">
      <w:pPr>
        <w:pStyle w:val="BodyText"/>
      </w:pPr>
      <w:r>
        <w:t>In other words, the UE capability for BD/CCE per B-slot bundle for a larger SCS (480 or 960 kHz) is the same as the per-slot capability for 120 kHz.</w:t>
      </w:r>
    </w:p>
    <w:p w14:paraId="3D1AB1CB" w14:textId="77777777" w:rsidR="0052578F" w:rsidRDefault="0052578F" w:rsidP="00F34480">
      <w:pPr>
        <w:pStyle w:val="BodyText"/>
      </w:pPr>
    </w:p>
    <w:p w14:paraId="46EEE8DB" w14:textId="245E5E97" w:rsidR="00B15F81" w:rsidRPr="00527D78" w:rsidRDefault="00B15F81" w:rsidP="00B15F81">
      <w:pPr>
        <w:pStyle w:val="Proposal"/>
        <w:tabs>
          <w:tab w:val="num" w:pos="1304"/>
        </w:tabs>
        <w:overflowPunct w:val="0"/>
        <w:autoSpaceDE w:val="0"/>
        <w:autoSpaceDN w:val="0"/>
        <w:adjustRightInd w:val="0"/>
        <w:spacing w:line="240" w:lineRule="auto"/>
        <w:ind w:left="1304" w:hanging="1304"/>
        <w:textAlignment w:val="baseline"/>
        <w:rPr>
          <w:rFonts w:eastAsiaTheme="minorEastAsia"/>
        </w:rPr>
      </w:pPr>
      <w:bookmarkStart w:id="13" w:name="_Toc61769621"/>
      <w:r>
        <w:t xml:space="preserve">A second approach to define the </w:t>
      </w:r>
      <w:r w:rsidR="00C53F59">
        <w:t xml:space="preserve">bundled </w:t>
      </w:r>
      <w:r>
        <w:t xml:space="preserve">UE PDCCH processing capabilities when PDCCH monitoring </w:t>
      </w:r>
      <w:r w:rsidR="0080536C">
        <w:t xml:space="preserve">per multiple slots </w:t>
      </w:r>
      <w:r>
        <w:t xml:space="preserve">is deployed for larger SCS with a PDCCH monitoring frequency equal to that of 120 kHz SCS is to maintain the same UE processing capabilities </w:t>
      </w:r>
      <w:r w:rsidR="0052578F">
        <w:t xml:space="preserve">per-slot </w:t>
      </w:r>
      <w:r>
        <w:t xml:space="preserve">as </w:t>
      </w:r>
      <w:r w:rsidR="0052578F">
        <w:t xml:space="preserve">in </w:t>
      </w:r>
      <w:r>
        <w:t>a 120 kHz SCS system.</w:t>
      </w:r>
      <w:r w:rsidR="00F92F0B">
        <w:t xml:space="preserve"> </w:t>
      </w:r>
      <w:r>
        <w:t xml:space="preserve">That is, </w:t>
      </w:r>
      <w:r w:rsidR="00AB242D">
        <w:rPr>
          <w:rFonts w:eastAsiaTheme="minorEastAsia"/>
        </w:rPr>
        <w:t xml:space="preserve">the </w:t>
      </w:r>
      <w:r w:rsidR="00AB242D">
        <w:t>bundled UE PDCCH processing capabilities are</w:t>
      </w:r>
      <w:r>
        <w:t xml:space="preserve">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BD,</m:t>
            </m:r>
            <m:r>
              <m:rPr>
                <m:sty m:val="bi"/>
              </m:rPr>
              <w:rPr>
                <w:rFonts w:ascii="Cambria Math" w:hAnsi="Cambria Math" w:cs="Times New Roman"/>
              </w:rPr>
              <m:t xml:space="preserve"> </m:t>
            </m:r>
            <m:r>
              <m:rPr>
                <m:sty m:val="b"/>
              </m:rPr>
              <w:rPr>
                <w:rFonts w:ascii="Cambria Math" w:hAnsi="Cambria Math" w:cs="Times New Roman"/>
              </w:rPr>
              <m:t>μ</m:t>
            </m:r>
          </m:sub>
          <m:sup>
            <m:sSup>
              <m:sSupPr>
                <m:ctrlPr>
                  <w:rPr>
                    <w:rFonts w:ascii="Cambria Math" w:hAnsi="Cambria Math" w:cs="Times New Roman"/>
                  </w:rPr>
                </m:ctrlPr>
              </m:sSupPr>
              <m:e>
                <m:r>
                  <m:rPr>
                    <m:sty m:val="bi"/>
                  </m:rPr>
                  <w:rPr>
                    <w:rFonts w:ascii="Cambria Math" w:hAnsi="Cambria Math" w:cs="Times New Roman"/>
                  </w:rPr>
                  <m:t>2</m:t>
                </m:r>
              </m:e>
              <m:sup>
                <m:r>
                  <m:rPr>
                    <m:sty m:val="bi"/>
                  </m:rPr>
                  <w:rPr>
                    <w:rFonts w:ascii="Cambria Math" w:hAnsi="Cambria Math" w:cs="Times New Roman"/>
                  </w:rPr>
                  <m:t>μ</m:t>
                </m:r>
                <m:r>
                  <m:rPr>
                    <m:sty m:val="b"/>
                  </m:rPr>
                  <w:rPr>
                    <w:rFonts w:ascii="Cambria Math" w:hAnsi="Cambria Math" w:cs="Times New Roman"/>
                  </w:rPr>
                  <m:t>-3</m:t>
                </m:r>
              </m:sup>
            </m:sSup>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BD,</m:t>
            </m:r>
            <m:r>
              <m:rPr>
                <m:sty m:val="bi"/>
              </m:rPr>
              <w:rPr>
                <w:rFonts w:ascii="Cambria Math" w:hAnsi="Cambria Math" w:cs="Times New Roman"/>
              </w:rPr>
              <m:t>μ</m:t>
            </m:r>
            <m:r>
              <m:rPr>
                <m:sty m:val="b"/>
              </m:rPr>
              <w:rPr>
                <w:rFonts w:ascii="Cambria Math" w:hAnsi="Cambria Math" w:cs="Times New Roman"/>
              </w:rPr>
              <m:t>=3</m:t>
            </m:r>
          </m:sub>
          <m:sup>
            <m:r>
              <m:rPr>
                <m:sty m:val="b"/>
              </m:rPr>
              <w:rPr>
                <w:rFonts w:ascii="Cambria Math" w:hAnsi="Cambria Math" w:cs="Times New Roman"/>
              </w:rPr>
              <m:t>slot</m:t>
            </m:r>
          </m:sup>
        </m:sSubSup>
      </m:oMath>
      <w:r w:rsidRPr="00527D78">
        <w:rPr>
          <w:rFonts w:eastAsiaTheme="minorEastAsia"/>
        </w:rPr>
        <w:t xml:space="preserve">, </w:t>
      </w:r>
      <w:r>
        <w:rPr>
          <w:rFonts w:eastAsiaTheme="minorEastAsia"/>
        </w:rPr>
        <w:t xml:space="preserve">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μ</m:t>
            </m:r>
          </m:sub>
          <m:sup>
            <m:sSup>
              <m:sSupPr>
                <m:ctrlPr>
                  <w:rPr>
                    <w:rFonts w:ascii="Cambria Math" w:hAnsi="Cambria Math" w:cs="Times New Roman"/>
                  </w:rPr>
                </m:ctrlPr>
              </m:sSupPr>
              <m:e>
                <m:r>
                  <m:rPr>
                    <m:sty m:val="bi"/>
                  </m:rPr>
                  <w:rPr>
                    <w:rFonts w:ascii="Cambria Math" w:hAnsi="Cambria Math" w:cs="Times New Roman"/>
                  </w:rPr>
                  <m:t>2</m:t>
                </m:r>
              </m:e>
              <m:sup>
                <m:r>
                  <m:rPr>
                    <m:sty m:val="bi"/>
                  </m:rPr>
                  <w:rPr>
                    <w:rFonts w:ascii="Cambria Math" w:hAnsi="Cambria Math" w:cs="Times New Roman"/>
                  </w:rPr>
                  <m:t>μ</m:t>
                </m:r>
                <m:r>
                  <m:rPr>
                    <m:sty m:val="b"/>
                  </m:rPr>
                  <w:rPr>
                    <w:rFonts w:ascii="Cambria Math" w:hAnsi="Cambria Math" w:cs="Times New Roman"/>
                  </w:rPr>
                  <m:t>-3</m:t>
                </m:r>
              </m:sup>
            </m:sSup>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CCE,</m:t>
            </m:r>
            <m:r>
              <m:rPr>
                <m:sty m:val="bi"/>
              </m:rPr>
              <w:rPr>
                <w:rFonts w:ascii="Cambria Math" w:hAnsi="Cambria Math" w:cs="Times New Roman"/>
              </w:rPr>
              <m:t>μ</m:t>
            </m:r>
            <m:r>
              <m:rPr>
                <m:sty m:val="b"/>
              </m:rPr>
              <w:rPr>
                <w:rFonts w:ascii="Cambria Math" w:hAnsi="Cambria Math" w:cs="Times New Roman"/>
              </w:rPr>
              <m:t>=3</m:t>
            </m:r>
          </m:sub>
          <m:sup>
            <m:r>
              <m:rPr>
                <m:sty m:val="b"/>
              </m:rPr>
              <w:rPr>
                <w:rFonts w:ascii="Cambria Math" w:hAnsi="Cambria Math" w:cs="Times New Roman"/>
              </w:rPr>
              <m:t>slot</m:t>
            </m:r>
          </m:sup>
        </m:sSubSup>
      </m:oMath>
      <w:r>
        <w:rPr>
          <w:rFonts w:eastAsiaTheme="minorEastAsia"/>
        </w:rPr>
        <w:t>.</w:t>
      </w:r>
      <w:bookmarkEnd w:id="13"/>
    </w:p>
    <w:p w14:paraId="35BA4B7E" w14:textId="77777777" w:rsidR="00B15F81" w:rsidRDefault="00B15F81" w:rsidP="00F34480">
      <w:pPr>
        <w:pStyle w:val="BodyText"/>
      </w:pPr>
    </w:p>
    <w:p w14:paraId="1EEC19A8" w14:textId="2B8F6DC5" w:rsidR="00F34480" w:rsidRDefault="00F34480" w:rsidP="00F34480">
      <w:pPr>
        <w:pStyle w:val="BodyText"/>
        <w:rPr>
          <w:rFonts w:eastAsiaTheme="minorEastAsia"/>
        </w:rPr>
      </w:pPr>
      <w:r>
        <w:t xml:space="preserve">For scaling solution 2, there remains the questions of whether and how to define the UE PDCCH processing capabilities for 480 kHz SCS with </w:t>
      </w:r>
      <w:r w:rsidR="00010463">
        <w:rPr>
          <w:rFonts w:eastAsiaTheme="minorEastAsia"/>
        </w:rPr>
        <w:t xml:space="preserve">bundle size </w:t>
      </w:r>
      <m:oMath>
        <m:r>
          <w:rPr>
            <w:rFonts w:ascii="Cambria Math" w:hAnsi="Cambria Math"/>
          </w:rPr>
          <m:t>B&lt;4</m:t>
        </m:r>
      </m:oMath>
      <w:r>
        <w:rPr>
          <w:rFonts w:eastAsiaTheme="minorEastAsia"/>
        </w:rPr>
        <w:t xml:space="preserve"> and for 960 kHz SCS with </w:t>
      </w:r>
      <w:r w:rsidR="00010463">
        <w:rPr>
          <w:rFonts w:eastAsiaTheme="minorEastAsia"/>
        </w:rPr>
        <w:t xml:space="preserve">bundle size </w:t>
      </w:r>
      <m:oMath>
        <m:r>
          <w:rPr>
            <w:rFonts w:ascii="Cambria Math" w:eastAsiaTheme="minorEastAsia" w:hAnsi="Cambria Math"/>
          </w:rPr>
          <m:t>B&lt;8</m:t>
        </m:r>
      </m:oMath>
      <w:r>
        <w:rPr>
          <w:rFonts w:eastAsiaTheme="minorEastAsia"/>
        </w:rPr>
        <w:t xml:space="preserve">. </w:t>
      </w:r>
      <w:r w:rsidR="001B5222">
        <w:rPr>
          <w:rFonts w:eastAsiaTheme="minorEastAsia"/>
        </w:rPr>
        <w:t>It is noted that t</w:t>
      </w:r>
      <w:r w:rsidR="00DE5E3B" w:rsidRPr="00DE5E3B">
        <w:rPr>
          <w:rFonts w:eastAsiaTheme="minorEastAsia"/>
        </w:rPr>
        <w:t>he hashing functions spread the candidates evenly across the CORESET</w:t>
      </w:r>
      <w:r w:rsidR="00DE5E3B">
        <w:rPr>
          <w:rFonts w:eastAsiaTheme="minorEastAsia"/>
        </w:rPr>
        <w:t xml:space="preserve">. </w:t>
      </w:r>
      <w:r>
        <w:t xml:space="preserve">Since separate hashing functions are used for PDCCH candidates of different aggregation levels and the channel estimation CCE budget counts separately the channel estimation performed for different CORESETs, support of different aggregation levels and scheduling framework become difficult for </w:t>
      </w:r>
      <m:oMath>
        <m:sSub>
          <m:sSubPr>
            <m:ctrlPr>
              <w:rPr>
                <w:rFonts w:ascii="Cambria Math" w:hAnsi="Cambria Math"/>
              </w:rPr>
            </m:ctrlPr>
          </m:sSubPr>
          <m:e>
            <m:r>
              <w:rPr>
                <w:rFonts w:ascii="Cambria Math" w:hAnsi="Cambria Math"/>
              </w:rPr>
              <m:t>N</m:t>
            </m:r>
          </m:e>
          <m:sub>
            <m:r>
              <m:rPr>
                <m:nor/>
              </m:rPr>
              <w:rPr>
                <w:rFonts w:ascii="Cambria Math" w:hAnsi="Cambria Math"/>
              </w:rPr>
              <m:t>CCE</m:t>
            </m:r>
          </m:sub>
        </m:sSub>
        <m:r>
          <w:rPr>
            <w:rFonts w:ascii="Cambria Math" w:hAnsi="Cambria Math"/>
          </w:rPr>
          <m:t>&lt;32</m:t>
        </m:r>
      </m:oMath>
      <w:r w:rsidR="00F40163">
        <w:rPr>
          <w:rFonts w:eastAsiaTheme="minorEastAsia"/>
        </w:rPr>
        <w:t xml:space="preserve"> (where 32 is the per-slot CCE budget corresponding 120 kHz SCS in Rel-15).</w:t>
      </w:r>
      <w:r>
        <w:rPr>
          <w:rFonts w:eastAsiaTheme="minorEastAsia"/>
        </w:rPr>
        <w:t xml:space="preserve"> Therefore, to ensure proper system operations</w:t>
      </w:r>
      <w:r w:rsidR="002718F8">
        <w:rPr>
          <w:rFonts w:eastAsiaTheme="minorEastAsia"/>
        </w:rPr>
        <w:t xml:space="preserve"> and lower specs impacts</w:t>
      </w:r>
      <w:r>
        <w:rPr>
          <w:rFonts w:eastAsiaTheme="minorEastAsia"/>
        </w:rPr>
        <w:t xml:space="preserve">, </w:t>
      </w:r>
      <w:r w:rsidR="0025003E">
        <w:t xml:space="preserve">UE PDCCH processing capabilities for 480 kHz SCS with </w:t>
      </w:r>
      <w:r w:rsidR="00010463">
        <w:rPr>
          <w:rFonts w:eastAsiaTheme="minorEastAsia"/>
        </w:rPr>
        <w:t xml:space="preserve">bundle size </w:t>
      </w:r>
      <m:oMath>
        <m:r>
          <w:rPr>
            <w:rFonts w:ascii="Cambria Math" w:hAnsi="Cambria Math"/>
          </w:rPr>
          <m:t>B&lt;4</m:t>
        </m:r>
      </m:oMath>
      <w:r w:rsidR="0025003E">
        <w:rPr>
          <w:rFonts w:eastAsiaTheme="minorEastAsia"/>
        </w:rPr>
        <w:t xml:space="preserve"> and for 960 kHz SCS with </w:t>
      </w:r>
      <w:r w:rsidR="00010463">
        <w:rPr>
          <w:rFonts w:eastAsiaTheme="minorEastAsia"/>
        </w:rPr>
        <w:t xml:space="preserve">bundle size </w:t>
      </w:r>
      <m:oMath>
        <m:r>
          <w:rPr>
            <w:rFonts w:ascii="Cambria Math" w:eastAsiaTheme="minorEastAsia" w:hAnsi="Cambria Math"/>
          </w:rPr>
          <m:t>B&lt;8</m:t>
        </m:r>
      </m:oMath>
      <w:r w:rsidR="0025003E">
        <w:rPr>
          <w:rFonts w:eastAsiaTheme="minorEastAsia"/>
        </w:rPr>
        <w:t xml:space="preserve"> are to be defined </w:t>
      </w:r>
      <w:r w:rsidR="00A4372D">
        <w:rPr>
          <w:rFonts w:eastAsiaTheme="minorEastAsia"/>
        </w:rPr>
        <w:t xml:space="preserve">as the same as for </w:t>
      </w:r>
      <w:r w:rsidR="00A4372D">
        <w:t xml:space="preserve">480 kHz SCS with </w:t>
      </w:r>
      <w:r w:rsidR="00010463">
        <w:rPr>
          <w:rFonts w:eastAsiaTheme="minorEastAsia"/>
        </w:rPr>
        <w:t xml:space="preserve">bundle size </w:t>
      </w:r>
      <m:oMath>
        <m:r>
          <w:rPr>
            <w:rFonts w:ascii="Cambria Math" w:hAnsi="Cambria Math"/>
          </w:rPr>
          <m:t>B=4</m:t>
        </m:r>
      </m:oMath>
      <w:r w:rsidR="00A4372D">
        <w:rPr>
          <w:rFonts w:eastAsiaTheme="minorEastAsia"/>
        </w:rPr>
        <w:t xml:space="preserve"> and for 960 kHz SCS with </w:t>
      </w:r>
      <w:r w:rsidR="00010463">
        <w:rPr>
          <w:rFonts w:eastAsiaTheme="minorEastAsia"/>
        </w:rPr>
        <w:t xml:space="preserve">bundle size </w:t>
      </w:r>
      <m:oMath>
        <m:r>
          <w:rPr>
            <w:rFonts w:ascii="Cambria Math" w:eastAsiaTheme="minorEastAsia" w:hAnsi="Cambria Math"/>
          </w:rPr>
          <m:t>B=8</m:t>
        </m:r>
      </m:oMath>
      <w:r w:rsidR="00EB6BE1">
        <w:rPr>
          <w:rFonts w:eastAsiaTheme="minorEastAsia"/>
        </w:rPr>
        <w:t>, respectively.</w:t>
      </w:r>
    </w:p>
    <w:p w14:paraId="14197C8C" w14:textId="2D51B3CE" w:rsidR="00D5282B" w:rsidRDefault="00D5282B" w:rsidP="00F34480">
      <w:pPr>
        <w:pStyle w:val="BodyText"/>
      </w:pPr>
      <w:r>
        <w:rPr>
          <w:rFonts w:eastAsiaTheme="minorEastAsia"/>
        </w:rPr>
        <w:t xml:space="preserve">For </w:t>
      </w:r>
      <w:r>
        <w:t xml:space="preserve">480 kHz SCS with </w:t>
      </w:r>
      <w:r w:rsidR="00010463">
        <w:rPr>
          <w:rFonts w:eastAsiaTheme="minorEastAsia"/>
        </w:rPr>
        <w:t xml:space="preserve">bundle size </w:t>
      </w:r>
      <m:oMath>
        <m:r>
          <w:rPr>
            <w:rFonts w:ascii="Cambria Math" w:hAnsi="Cambria Math"/>
          </w:rPr>
          <m:t>B&gt;4</m:t>
        </m:r>
      </m:oMath>
      <w:r>
        <w:rPr>
          <w:rFonts w:eastAsiaTheme="minorEastAsia"/>
        </w:rPr>
        <w:t xml:space="preserve"> and for 960 kHz SCS with </w:t>
      </w:r>
      <w:r w:rsidR="00010463">
        <w:rPr>
          <w:rFonts w:eastAsiaTheme="minorEastAsia"/>
        </w:rPr>
        <w:t xml:space="preserve">bundle size </w:t>
      </w:r>
      <m:oMath>
        <m:r>
          <w:rPr>
            <w:rFonts w:ascii="Cambria Math" w:eastAsiaTheme="minorEastAsia" w:hAnsi="Cambria Math"/>
          </w:rPr>
          <m:t>B&gt;8</m:t>
        </m:r>
      </m:oMath>
      <w:r>
        <w:rPr>
          <w:rFonts w:eastAsiaTheme="minorEastAsia"/>
        </w:rPr>
        <w:t xml:space="preserve">, </w:t>
      </w:r>
      <w:r w:rsidR="000B62E5">
        <w:rPr>
          <w:rFonts w:eastAsiaTheme="minorEastAsia"/>
        </w:rPr>
        <w:t xml:space="preserve">the </w:t>
      </w:r>
      <w:r w:rsidR="00B06036">
        <w:rPr>
          <w:rFonts w:eastAsiaTheme="minorEastAsia"/>
        </w:rPr>
        <w:t>scaling approaches</w:t>
      </w:r>
      <w:r w:rsidR="000B62E5">
        <w:rPr>
          <w:rFonts w:eastAsiaTheme="minorEastAsia"/>
        </w:rPr>
        <w:t xml:space="preserve"> discussed in the above can be combined</w:t>
      </w:r>
      <w:r w:rsidR="003325A4">
        <w:rPr>
          <w:rFonts w:eastAsiaTheme="minorEastAsia"/>
        </w:rPr>
        <w:t xml:space="preserve">. That is, for the example of 480 kHz SCS with </w:t>
      </w:r>
      <m:oMath>
        <m:r>
          <w:rPr>
            <w:rFonts w:ascii="Cambria Math" w:eastAsiaTheme="minorEastAsia" w:hAnsi="Cambria Math"/>
          </w:rPr>
          <m:t>4&lt;B≤8</m:t>
        </m:r>
      </m:oMath>
      <w:r w:rsidR="00487CEA">
        <w:rPr>
          <w:rFonts w:eastAsiaTheme="minorEastAsia"/>
        </w:rPr>
        <w:t xml:space="preserve">, the UE PDCCH processing capabilities are defined as double those for </w:t>
      </w:r>
      <w:r w:rsidR="00A27E0F">
        <w:rPr>
          <w:rFonts w:eastAsiaTheme="minorEastAsia"/>
        </w:rPr>
        <w:t>a 120 kHz SCS system</w:t>
      </w:r>
      <w:r w:rsidR="007831C1">
        <w:rPr>
          <w:rFonts w:eastAsiaTheme="minorEastAsia"/>
        </w:rPr>
        <w:t xml:space="preserve">. In summary, if </w:t>
      </w:r>
      <w:r w:rsidR="008B4FD5">
        <w:rPr>
          <w:rFonts w:eastAsiaTheme="minorEastAsia"/>
        </w:rPr>
        <w:t xml:space="preserve">monitoring </w:t>
      </w:r>
      <w:r w:rsidR="00010463">
        <w:rPr>
          <w:rFonts w:eastAsiaTheme="minorEastAsia"/>
        </w:rPr>
        <w:t xml:space="preserve">bundle size </w:t>
      </w:r>
      <w:r w:rsidR="008B4FD5">
        <w:rPr>
          <w:rFonts w:eastAsiaTheme="minorEastAsia"/>
        </w:rPr>
        <w:t xml:space="preserve">of </w:t>
      </w:r>
      <m:oMath>
        <m:r>
          <w:rPr>
            <w:rFonts w:ascii="Cambria Math" w:eastAsiaTheme="minorEastAsia" w:hAnsi="Cambria Math"/>
          </w:rPr>
          <m:t>B≠4</m:t>
        </m:r>
      </m:oMath>
      <w:r w:rsidR="008B4FD5">
        <w:rPr>
          <w:rFonts w:eastAsiaTheme="minorEastAsia"/>
        </w:rPr>
        <w:t xml:space="preserve"> </w:t>
      </w:r>
      <w:r w:rsidR="008B4FD5">
        <w:t xml:space="preserve">for 480 kHz SCS or </w:t>
      </w:r>
      <m:oMath>
        <m:r>
          <w:rPr>
            <w:rFonts w:ascii="Cambria Math" w:hAnsi="Cambria Math"/>
          </w:rPr>
          <m:t>B≠8</m:t>
        </m:r>
      </m:oMath>
      <w:r w:rsidR="008B4FD5">
        <w:rPr>
          <w:rFonts w:eastAsiaTheme="minorEastAsia"/>
        </w:rPr>
        <w:t xml:space="preserve"> for 960 kHz SCS are supported, the UE PDCCH processing capabilities are defined </w:t>
      </w:r>
      <w:r w:rsidR="00034CB4">
        <w:rPr>
          <w:rFonts w:eastAsiaTheme="minorEastAsia"/>
        </w:rPr>
        <w:t>as follows</w:t>
      </w:r>
      <w:r w:rsidR="00F221B2">
        <w:rPr>
          <w:rFonts w:eastAsiaTheme="minorEastAsia"/>
        </w:rPr>
        <w:t>:</w:t>
      </w:r>
    </w:p>
    <w:p w14:paraId="3CEA8304" w14:textId="7489A9FF" w:rsidR="00A27E0F" w:rsidRPr="005571F9" w:rsidRDefault="009D54EF" w:rsidP="00A27E0F">
      <w:pPr>
        <w:pStyle w:val="BodyText"/>
      </w:pPr>
      <m:oMathPara>
        <m:oMathParaPr>
          <m:jc m:val="centerGroup"/>
        </m:oMathParaPr>
        <m:oMath>
          <m:sSubSup>
            <m:sSubSupPr>
              <m:ctrlPr>
                <w:rPr>
                  <w:rFonts w:ascii="Cambria Math" w:hAnsi="Cambria Math" w:cs="Times New Roman"/>
                </w:rPr>
              </m:ctrlPr>
            </m:sSubSupPr>
            <m:e>
              <m:r>
                <w:rPr>
                  <w:rFonts w:ascii="Cambria Math" w:hAnsi="Cambria Math" w:cs="Times New Roman"/>
                </w:rPr>
                <m:t>N</m:t>
              </m:r>
            </m:e>
            <m:sub>
              <m:r>
                <m:rPr>
                  <m:sty m:val="p"/>
                </m:rPr>
                <w:rPr>
                  <w:rFonts w:ascii="Cambria Math" w:hAnsi="Cambria Math" w:cs="Times New Roman"/>
                </w:rPr>
                <m:t xml:space="preserve">BD, </m:t>
              </m:r>
              <m:r>
                <w:rPr>
                  <w:rFonts w:ascii="Cambria Math" w:hAnsi="Cambria Math" w:cs="Times New Roman"/>
                </w:rPr>
                <m:t>μ</m:t>
              </m:r>
            </m:sub>
            <m:sup>
              <m:r>
                <w:rPr>
                  <w:rFonts w:ascii="Cambria Math" w:hAnsi="Cambria Math" w:cs="Times New Roman"/>
                </w:rPr>
                <m:t>B</m:t>
              </m:r>
              <m:r>
                <m:rPr>
                  <m:nor/>
                </m:rPr>
                <w:rPr>
                  <w:rFonts w:ascii="Cambria Math" w:hAnsi="Cambria Math" w:cs="Times New Roman"/>
                </w:rPr>
                <m:t>-</m:t>
              </m:r>
              <m:r>
                <m:rPr>
                  <m:sty m:val="p"/>
                </m:rPr>
                <w:rPr>
                  <w:rFonts w:ascii="Cambria Math" w:hAnsi="Cambria Math" w:cs="Times New Roman"/>
                </w:rPr>
                <m:t>slot</m:t>
              </m:r>
            </m:sup>
          </m:sSubSup>
          <m:r>
            <w:rPr>
              <w:rFonts w:ascii="Cambria Math" w:hAnsi="Cambria Math" w:cs="Times New Roman"/>
            </w:rPr>
            <m:t>=</m:t>
          </m:r>
          <m:d>
            <m:dPr>
              <m:begChr m:val="⌈"/>
              <m:endChr m:val="⌉"/>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B</m:t>
                  </m:r>
                </m:num>
                <m:den>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μ</m:t>
                      </m:r>
                      <m:r>
                        <m:rPr>
                          <m:sty m:val="p"/>
                        </m:rPr>
                        <w:rPr>
                          <w:rFonts w:ascii="Cambria Math" w:hAnsi="Cambria Math" w:cs="Times New Roman"/>
                        </w:rPr>
                        <m:t>-3</m:t>
                      </m:r>
                    </m:sup>
                  </m:sSup>
                </m:den>
              </m:f>
            </m:e>
          </m:d>
          <m:r>
            <w:rPr>
              <w:rFonts w:ascii="Cambria Math" w:hAnsi="Cambria Math" w:cs="Times New Roman"/>
            </w:rPr>
            <m:t>∙</m:t>
          </m:r>
          <m:sSubSup>
            <m:sSubSupPr>
              <m:ctrlPr>
                <w:rPr>
                  <w:rFonts w:ascii="Cambria Math" w:hAnsi="Cambria Math" w:cs="Times New Roman"/>
                </w:rPr>
              </m:ctrlPr>
            </m:sSubSupPr>
            <m:e>
              <m:r>
                <w:rPr>
                  <w:rFonts w:ascii="Cambria Math" w:hAnsi="Cambria Math" w:cs="Times New Roman"/>
                </w:rPr>
                <m:t>N</m:t>
              </m:r>
            </m:e>
            <m:sub>
              <m:r>
                <m:rPr>
                  <m:sty m:val="p"/>
                </m:rPr>
                <w:rPr>
                  <w:rFonts w:ascii="Cambria Math" w:hAnsi="Cambria Math" w:cs="Times New Roman"/>
                </w:rPr>
                <m:t>BD,</m:t>
              </m:r>
              <m:r>
                <w:rPr>
                  <w:rFonts w:ascii="Cambria Math" w:hAnsi="Cambria Math" w:cs="Times New Roman"/>
                </w:rPr>
                <m:t>μ</m:t>
              </m:r>
              <m:r>
                <m:rPr>
                  <m:sty m:val="p"/>
                </m:rPr>
                <w:rPr>
                  <w:rFonts w:ascii="Cambria Math" w:hAnsi="Cambria Math" w:cs="Times New Roman"/>
                </w:rPr>
                <m:t>=3</m:t>
              </m:r>
            </m:sub>
            <m:sup>
              <m:r>
                <m:rPr>
                  <m:sty m:val="p"/>
                </m:rPr>
                <w:rPr>
                  <w:rFonts w:ascii="Cambria Math" w:hAnsi="Cambria Math" w:cs="Times New Roman"/>
                </w:rPr>
                <m:t>slot</m:t>
              </m:r>
            </m:sup>
          </m:sSubSup>
        </m:oMath>
      </m:oMathPara>
    </w:p>
    <w:p w14:paraId="411F57A1" w14:textId="2AC6665D" w:rsidR="006F464C" w:rsidRPr="005571F9" w:rsidRDefault="009D54EF" w:rsidP="006F464C">
      <w:pPr>
        <w:pStyle w:val="BodyText"/>
      </w:pPr>
      <m:oMathPara>
        <m:oMathParaPr>
          <m:jc m:val="centerGroup"/>
        </m:oMathParaPr>
        <m:oMath>
          <m:sSubSup>
            <m:sSubSupPr>
              <m:ctrlPr>
                <w:rPr>
                  <w:rFonts w:ascii="Cambria Math" w:hAnsi="Cambria Math" w:cs="Times New Roman"/>
                </w:rPr>
              </m:ctrlPr>
            </m:sSubSupPr>
            <m:e>
              <m:r>
                <w:rPr>
                  <w:rFonts w:ascii="Cambria Math" w:hAnsi="Cambria Math" w:cs="Times New Roman"/>
                </w:rPr>
                <m:t>N</m:t>
              </m:r>
            </m:e>
            <m:sub>
              <m:r>
                <m:rPr>
                  <m:sty m:val="p"/>
                </m:rPr>
                <w:rPr>
                  <w:rFonts w:ascii="Cambria Math" w:hAnsi="Cambria Math" w:cs="Times New Roman"/>
                </w:rPr>
                <m:t xml:space="preserve">CCE, </m:t>
              </m:r>
              <m:r>
                <w:rPr>
                  <w:rFonts w:ascii="Cambria Math" w:hAnsi="Cambria Math" w:cs="Times New Roman"/>
                </w:rPr>
                <m:t>μ</m:t>
              </m:r>
            </m:sub>
            <m:sup>
              <m:r>
                <w:rPr>
                  <w:rFonts w:ascii="Cambria Math" w:hAnsi="Cambria Math" w:cs="Times New Roman"/>
                </w:rPr>
                <m:t>B</m:t>
              </m:r>
              <m:r>
                <m:rPr>
                  <m:nor/>
                </m:rPr>
                <w:rPr>
                  <w:rFonts w:ascii="Cambria Math" w:hAnsi="Cambria Math" w:cs="Times New Roman"/>
                </w:rPr>
                <m:t>-</m:t>
              </m:r>
              <m:r>
                <m:rPr>
                  <m:sty m:val="p"/>
                </m:rPr>
                <w:rPr>
                  <w:rFonts w:ascii="Cambria Math" w:hAnsi="Cambria Math" w:cs="Times New Roman"/>
                </w:rPr>
                <m:t>slot</m:t>
              </m:r>
            </m:sup>
          </m:sSubSup>
          <m:r>
            <w:rPr>
              <w:rFonts w:ascii="Cambria Math" w:hAnsi="Cambria Math" w:cs="Times New Roman"/>
            </w:rPr>
            <m:t>=</m:t>
          </m:r>
          <m:d>
            <m:dPr>
              <m:begChr m:val="⌈"/>
              <m:endChr m:val="⌉"/>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B</m:t>
                  </m:r>
                </m:num>
                <m:den>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μ</m:t>
                      </m:r>
                      <m:r>
                        <m:rPr>
                          <m:sty m:val="p"/>
                        </m:rPr>
                        <w:rPr>
                          <w:rFonts w:ascii="Cambria Math" w:hAnsi="Cambria Math" w:cs="Times New Roman"/>
                        </w:rPr>
                        <m:t>-3</m:t>
                      </m:r>
                    </m:sup>
                  </m:sSup>
                </m:den>
              </m:f>
            </m:e>
          </m:d>
          <m:r>
            <w:rPr>
              <w:rFonts w:ascii="Cambria Math" w:hAnsi="Cambria Math" w:cs="Times New Roman"/>
            </w:rPr>
            <m:t>∙</m:t>
          </m:r>
          <m:sSubSup>
            <m:sSubSupPr>
              <m:ctrlPr>
                <w:rPr>
                  <w:rFonts w:ascii="Cambria Math" w:hAnsi="Cambria Math" w:cs="Times New Roman"/>
                </w:rPr>
              </m:ctrlPr>
            </m:sSubSupPr>
            <m:e>
              <m:r>
                <w:rPr>
                  <w:rFonts w:ascii="Cambria Math" w:hAnsi="Cambria Math" w:cs="Times New Roman"/>
                </w:rPr>
                <m:t>N</m:t>
              </m:r>
            </m:e>
            <m:sub>
              <m:r>
                <m:rPr>
                  <m:sty m:val="p"/>
                </m:rPr>
                <w:rPr>
                  <w:rFonts w:ascii="Cambria Math" w:hAnsi="Cambria Math" w:cs="Times New Roman"/>
                </w:rPr>
                <m:t>CCE,</m:t>
              </m:r>
              <m:r>
                <w:rPr>
                  <w:rFonts w:ascii="Cambria Math" w:hAnsi="Cambria Math" w:cs="Times New Roman"/>
                </w:rPr>
                <m:t>μ</m:t>
              </m:r>
              <m:r>
                <m:rPr>
                  <m:sty m:val="p"/>
                </m:rPr>
                <w:rPr>
                  <w:rFonts w:ascii="Cambria Math" w:hAnsi="Cambria Math" w:cs="Times New Roman"/>
                </w:rPr>
                <m:t>=3</m:t>
              </m:r>
            </m:sub>
            <m:sup>
              <m:r>
                <m:rPr>
                  <m:sty m:val="p"/>
                </m:rPr>
                <w:rPr>
                  <w:rFonts w:ascii="Cambria Math" w:hAnsi="Cambria Math" w:cs="Times New Roman"/>
                </w:rPr>
                <m:t>slot</m:t>
              </m:r>
            </m:sup>
          </m:sSubSup>
        </m:oMath>
      </m:oMathPara>
    </w:p>
    <w:p w14:paraId="6601F6EE" w14:textId="19B4FD72" w:rsidR="00034CB4" w:rsidRDefault="00034CB4" w:rsidP="00F34480">
      <w:pPr>
        <w:pStyle w:val="BodyText"/>
      </w:pPr>
      <w:r>
        <w:t xml:space="preserve">In these expressions, </w:t>
      </w:r>
      <m:oMath>
        <m:d>
          <m:dPr>
            <m:begChr m:val="⌈"/>
            <m:endChr m:val="⌉"/>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B</m:t>
                </m:r>
              </m:num>
              <m:den>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μ</m:t>
                    </m:r>
                    <m:r>
                      <m:rPr>
                        <m:sty m:val="p"/>
                      </m:rPr>
                      <w:rPr>
                        <w:rFonts w:ascii="Cambria Math" w:hAnsi="Cambria Math" w:cs="Times New Roman"/>
                      </w:rPr>
                      <m:t>-3</m:t>
                    </m:r>
                  </m:sup>
                </m:sSup>
              </m:den>
            </m:f>
          </m:e>
        </m:d>
      </m:oMath>
      <w:r>
        <w:rPr>
          <w:rFonts w:eastAsiaTheme="minorEastAsia"/>
        </w:rPr>
        <w:t xml:space="preserve"> has a stair-step pattern as a function of B. For example, for 480 kHz (</w:t>
      </w:r>
      <m:oMath>
        <m:r>
          <w:rPr>
            <w:rFonts w:ascii="Cambria Math" w:eastAsiaTheme="minorEastAsia" w:hAnsi="Cambria Math"/>
          </w:rPr>
          <m:t>μ=5</m:t>
        </m:r>
      </m:oMath>
      <w:r>
        <w:rPr>
          <w:rFonts w:eastAsiaTheme="minorEastAsia"/>
        </w:rPr>
        <w:t xml:space="preserve">), it equals 1 for </w:t>
      </w:r>
      <m:oMath>
        <m:r>
          <w:rPr>
            <w:rFonts w:ascii="Cambria Math" w:eastAsiaTheme="minorEastAsia" w:hAnsi="Cambria Math"/>
          </w:rPr>
          <m:t>1≤B≤4</m:t>
        </m:r>
      </m:oMath>
      <w:r>
        <w:rPr>
          <w:rFonts w:eastAsiaTheme="minorEastAsia"/>
        </w:rPr>
        <w:t>, 2 for</w:t>
      </w:r>
      <w:r w:rsidR="00697683">
        <w:rPr>
          <w:rFonts w:eastAsiaTheme="minorEastAsia"/>
        </w:rPr>
        <w:t xml:space="preserve"> </w:t>
      </w:r>
      <m:oMath>
        <m:r>
          <w:rPr>
            <w:rFonts w:ascii="Cambria Math" w:eastAsiaTheme="minorEastAsia" w:hAnsi="Cambria Math"/>
          </w:rPr>
          <m:t>5≤B≤8</m:t>
        </m:r>
      </m:oMath>
      <w:r>
        <w:rPr>
          <w:rFonts w:eastAsiaTheme="minorEastAsia"/>
        </w:rPr>
        <w:t>, 3</w:t>
      </w:r>
      <w:r w:rsidR="00697683">
        <w:rPr>
          <w:rFonts w:eastAsiaTheme="minorEastAsia"/>
        </w:rPr>
        <w:t xml:space="preserve"> </w:t>
      </w:r>
      <w:r>
        <w:rPr>
          <w:rFonts w:eastAsiaTheme="minorEastAsia"/>
        </w:rPr>
        <w:t>for</w:t>
      </w:r>
      <w:r w:rsidR="00697683">
        <w:rPr>
          <w:rFonts w:eastAsiaTheme="minorEastAsia"/>
        </w:rPr>
        <w:t xml:space="preserve"> </w:t>
      </w:r>
      <m:oMath>
        <m:r>
          <w:rPr>
            <w:rFonts w:ascii="Cambria Math" w:eastAsiaTheme="minorEastAsia" w:hAnsi="Cambria Math"/>
          </w:rPr>
          <m:t>9≤B≤12</m:t>
        </m:r>
      </m:oMath>
      <w:r w:rsidR="00697683">
        <w:rPr>
          <w:rFonts w:eastAsiaTheme="minorEastAsia"/>
        </w:rPr>
        <w:t>,</w:t>
      </w:r>
      <w:r>
        <w:rPr>
          <w:rFonts w:eastAsiaTheme="minorEastAsia"/>
        </w:rPr>
        <w:t xml:space="preserve"> and so on.</w:t>
      </w:r>
    </w:p>
    <w:p w14:paraId="331784BF" w14:textId="4C057FA2" w:rsidR="008745A3" w:rsidRPr="00527D78" w:rsidRDefault="008745A3" w:rsidP="008745A3">
      <w:pPr>
        <w:pStyle w:val="Proposal"/>
        <w:tabs>
          <w:tab w:val="num" w:pos="1304"/>
        </w:tabs>
        <w:overflowPunct w:val="0"/>
        <w:autoSpaceDE w:val="0"/>
        <w:autoSpaceDN w:val="0"/>
        <w:adjustRightInd w:val="0"/>
        <w:spacing w:line="240" w:lineRule="auto"/>
        <w:ind w:left="1304" w:hanging="1304"/>
        <w:textAlignment w:val="baseline"/>
        <w:rPr>
          <w:rFonts w:eastAsiaTheme="minorEastAsia"/>
        </w:rPr>
      </w:pPr>
      <w:bookmarkStart w:id="14" w:name="_Toc61769622"/>
      <w:r>
        <w:rPr>
          <w:rFonts w:eastAsiaTheme="minorEastAsia"/>
        </w:rPr>
        <w:lastRenderedPageBreak/>
        <w:t xml:space="preserve">If </w:t>
      </w:r>
      <w:r w:rsidR="00F40163">
        <w:rPr>
          <w:rFonts w:eastAsiaTheme="minorEastAsia"/>
        </w:rPr>
        <w:t xml:space="preserve">arbitrary </w:t>
      </w:r>
      <w:r w:rsidR="00B57246">
        <w:rPr>
          <w:rFonts w:eastAsiaTheme="minorEastAsia"/>
        </w:rPr>
        <w:t xml:space="preserve">monitoring bundle size </w:t>
      </w:r>
      <w:r w:rsidR="00F40163">
        <w:rPr>
          <w:rFonts w:eastAsiaTheme="minorEastAsia"/>
        </w:rPr>
        <w:t xml:space="preserve">of </w:t>
      </w:r>
      <m:oMath>
        <m:r>
          <m:rPr>
            <m:sty m:val="bi"/>
          </m:rPr>
          <w:rPr>
            <w:rFonts w:ascii="Cambria Math" w:eastAsiaTheme="minorEastAsia" w:hAnsi="Cambria Math"/>
          </w:rPr>
          <m:t>B</m:t>
        </m:r>
      </m:oMath>
      <w:r w:rsidR="00F40163">
        <w:rPr>
          <w:rFonts w:eastAsiaTheme="minorEastAsia"/>
        </w:rPr>
        <w:t xml:space="preserve"> is supported for UE capability scaling Option 2, i.e., </w:t>
      </w:r>
      <m:oMath>
        <m:r>
          <m:rPr>
            <m:sty m:val="bi"/>
          </m:rPr>
          <w:rPr>
            <w:rFonts w:ascii="Cambria Math" w:eastAsiaTheme="minorEastAsia" w:hAnsi="Cambria Math"/>
          </w:rPr>
          <m:t>B≠4</m:t>
        </m:r>
      </m:oMath>
      <w:r>
        <w:rPr>
          <w:rFonts w:eastAsiaTheme="minorEastAsia"/>
        </w:rPr>
        <w:t xml:space="preserve"> </w:t>
      </w:r>
      <w:r>
        <w:t xml:space="preserve">for 480 kHz SCS or </w:t>
      </w:r>
      <m:oMath>
        <m:r>
          <m:rPr>
            <m:sty m:val="bi"/>
          </m:rPr>
          <w:rPr>
            <w:rFonts w:ascii="Cambria Math" w:hAnsi="Cambria Math"/>
          </w:rPr>
          <m:t>B≠8</m:t>
        </m:r>
      </m:oMath>
      <w:r>
        <w:rPr>
          <w:rFonts w:eastAsiaTheme="minorEastAsia"/>
        </w:rPr>
        <w:t xml:space="preserve"> for 960 kHz SCS are supported</w:t>
      </w:r>
      <w:r w:rsidR="00E177CF">
        <w:t>,</w:t>
      </w:r>
      <w:r>
        <w:t xml:space="preserve"> </w:t>
      </w:r>
      <w:r w:rsidR="008F53FA">
        <w:t xml:space="preserve">the bundled UE PDCCH processing capabilities </w:t>
      </w:r>
      <w:r w:rsidR="00922D8D">
        <w:t xml:space="preserve">are scaled relative to those for the 120 kHz SCS </w:t>
      </w:r>
      <w:r w:rsidR="00F8451E">
        <w:t xml:space="preserve">by a factor of </w:t>
      </w:r>
      <m:oMath>
        <m:d>
          <m:dPr>
            <m:begChr m:val="⌈"/>
            <m:endChr m:val="⌉"/>
            <m:ctrlPr>
              <w:rPr>
                <w:rFonts w:ascii="Cambria Math" w:hAnsi="Cambria Math" w:cs="Times New Roman"/>
                <w:b w:val="0"/>
                <w:bCs w:val="0"/>
                <w:i/>
              </w:rPr>
            </m:ctrlPr>
          </m:dPr>
          <m:e>
            <m:f>
              <m:fPr>
                <m:ctrlPr>
                  <w:rPr>
                    <w:rFonts w:ascii="Cambria Math" w:hAnsi="Cambria Math" w:cs="Times New Roman"/>
                    <w:b w:val="0"/>
                    <w:bCs w:val="0"/>
                    <w:i/>
                  </w:rPr>
                </m:ctrlPr>
              </m:fPr>
              <m:num>
                <m:r>
                  <m:rPr>
                    <m:sty m:val="bi"/>
                  </m:rPr>
                  <w:rPr>
                    <w:rFonts w:ascii="Cambria Math" w:hAnsi="Cambria Math" w:cs="Times New Roman"/>
                  </w:rPr>
                  <m:t>B</m:t>
                </m:r>
              </m:num>
              <m:den>
                <m:sSup>
                  <m:sSupPr>
                    <m:ctrlPr>
                      <w:rPr>
                        <w:rFonts w:ascii="Cambria Math" w:hAnsi="Cambria Math" w:cs="Times New Roman"/>
                        <w:b w:val="0"/>
                        <w:bCs w:val="0"/>
                      </w:rPr>
                    </m:ctrlPr>
                  </m:sSupPr>
                  <m:e>
                    <m:r>
                      <m:rPr>
                        <m:sty m:val="bi"/>
                      </m:rPr>
                      <w:rPr>
                        <w:rFonts w:ascii="Cambria Math" w:hAnsi="Cambria Math" w:cs="Times New Roman"/>
                      </w:rPr>
                      <m:t>2</m:t>
                    </m:r>
                  </m:e>
                  <m:sup>
                    <m:r>
                      <m:rPr>
                        <m:sty m:val="bi"/>
                      </m:rPr>
                      <w:rPr>
                        <w:rFonts w:ascii="Cambria Math" w:hAnsi="Cambria Math" w:cs="Times New Roman"/>
                      </w:rPr>
                      <m:t>μ</m:t>
                    </m:r>
                    <m:r>
                      <m:rPr>
                        <m:sty m:val="b"/>
                      </m:rPr>
                      <w:rPr>
                        <w:rFonts w:ascii="Cambria Math" w:hAnsi="Cambria Math" w:cs="Times New Roman"/>
                      </w:rPr>
                      <m:t>-3</m:t>
                    </m:r>
                  </m:sup>
                </m:sSup>
              </m:den>
            </m:f>
          </m:e>
        </m:d>
      </m:oMath>
      <w:r>
        <w:rPr>
          <w:rFonts w:eastAsiaTheme="minorEastAsia"/>
        </w:rPr>
        <w:t>.</w:t>
      </w:r>
      <w:bookmarkEnd w:id="14"/>
    </w:p>
    <w:p w14:paraId="7A2EDFAA" w14:textId="77777777" w:rsidR="00394451" w:rsidRPr="00CE0424" w:rsidRDefault="00394451" w:rsidP="00394451">
      <w:pPr>
        <w:pStyle w:val="Heading1"/>
      </w:pPr>
      <w:r w:rsidRPr="00CE0424">
        <w:t>Conclusion</w:t>
      </w:r>
    </w:p>
    <w:p w14:paraId="31CCC653" w14:textId="77777777" w:rsidR="00394451" w:rsidRDefault="00394451" w:rsidP="00394451">
      <w:pPr>
        <w:pStyle w:val="BodyText"/>
      </w:pPr>
      <w:r w:rsidRPr="00CE0424">
        <w:t xml:space="preserve">Based on the discussion in </w:t>
      </w:r>
      <w:r>
        <w:t xml:space="preserve">the previous </w:t>
      </w:r>
      <w:r w:rsidRPr="00CE0424">
        <w:t>section</w:t>
      </w:r>
      <w:r>
        <w:t>s</w:t>
      </w:r>
      <w:r w:rsidRPr="00CE0424">
        <w:t xml:space="preserve"> we propose the following:</w:t>
      </w:r>
    </w:p>
    <w:p w14:paraId="15191FEF" w14:textId="77777777" w:rsidR="009F0E7D" w:rsidRDefault="00394451">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61769618" w:history="1">
        <w:r w:rsidR="009F0E7D" w:rsidRPr="008354DD">
          <w:rPr>
            <w:rStyle w:val="Hyperlink"/>
            <w:noProof/>
          </w:rPr>
          <w:t>Proposal 1</w:t>
        </w:r>
        <w:r w:rsidR="009F0E7D">
          <w:rPr>
            <w:rFonts w:asciiTheme="minorHAnsi" w:eastAsiaTheme="minorEastAsia" w:hAnsiTheme="minorHAnsi"/>
            <w:b w:val="0"/>
            <w:noProof/>
            <w:sz w:val="22"/>
            <w:lang w:eastAsia="en-US"/>
          </w:rPr>
          <w:tab/>
        </w:r>
        <w:r w:rsidR="009F0E7D" w:rsidRPr="008354DD">
          <w:rPr>
            <w:rStyle w:val="Hyperlink"/>
            <w:noProof/>
          </w:rPr>
          <w:t>The monitoring periodicity of search space is an integer multiple of the bundle size B used to define UE PDCCH processing capabilities per bundle of B slots.</w:t>
        </w:r>
      </w:hyperlink>
    </w:p>
    <w:p w14:paraId="7FEAD708" w14:textId="38AFC5B7" w:rsidR="009F0E7D" w:rsidRDefault="009D54EF">
      <w:pPr>
        <w:pStyle w:val="TableofFigures"/>
        <w:tabs>
          <w:tab w:val="right" w:leader="dot" w:pos="9629"/>
        </w:tabs>
        <w:rPr>
          <w:rFonts w:asciiTheme="minorHAnsi" w:eastAsiaTheme="minorEastAsia" w:hAnsiTheme="minorHAnsi"/>
          <w:b w:val="0"/>
          <w:noProof/>
          <w:sz w:val="22"/>
          <w:lang w:eastAsia="en-US"/>
        </w:rPr>
      </w:pPr>
      <w:hyperlink w:anchor="_Toc61769619" w:history="1">
        <w:r w:rsidR="009F0E7D" w:rsidRPr="008354DD">
          <w:rPr>
            <w:rStyle w:val="Hyperlink"/>
            <w:noProof/>
          </w:rPr>
          <w:t>Proposal 2</w:t>
        </w:r>
        <w:r w:rsidR="009F0E7D">
          <w:rPr>
            <w:rFonts w:asciiTheme="minorHAnsi" w:eastAsiaTheme="minorEastAsia" w:hAnsiTheme="minorHAnsi"/>
            <w:b w:val="0"/>
            <w:noProof/>
            <w:sz w:val="22"/>
            <w:lang w:eastAsia="en-US"/>
          </w:rPr>
          <w:tab/>
        </w:r>
        <w:r w:rsidR="009F0E7D" w:rsidRPr="008354DD">
          <w:rPr>
            <w:rStyle w:val="Hyperlink"/>
            <w:noProof/>
          </w:rPr>
          <w:t xml:space="preserve">A first approach to define the UE PDCCH processing capabilities when PDCCH monitoring per multiple slots is deployed for larger SCS is to scale the UE PDCCH processing capabilities per </w:t>
        </w:r>
        <m:oMath>
          <m:r>
            <m:rPr>
              <m:sty m:val="bi"/>
            </m:rPr>
            <w:rPr>
              <w:rStyle w:val="Hyperlink"/>
              <w:rFonts w:ascii="Cambria Math" w:hAnsi="Cambria Math"/>
              <w:noProof/>
            </w:rPr>
            <m:t>B</m:t>
          </m:r>
        </m:oMath>
        <w:r w:rsidR="009F0E7D" w:rsidRPr="008354DD">
          <w:rPr>
            <w:rStyle w:val="Hyperlink"/>
            <w:noProof/>
          </w:rPr>
          <w:t xml:space="preserve"> slots with the bundle size B. That is, the bundled UE PDCCH processing capabilities are </w:t>
        </w:r>
        <m:oMath>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BD</m:t>
              </m:r>
              <m:r>
                <m:rPr>
                  <m:sty m:val="b"/>
                </m:rPr>
                <w:rPr>
                  <w:rFonts w:ascii="Cambria Math" w:hAnsi="Cambria Math" w:cs="Times New Roman"/>
                </w:rPr>
                <m:t>, μ</m:t>
              </m:r>
            </m:sub>
            <m:sup>
              <m:r>
                <m:rPr>
                  <m:sty m:val="bi"/>
                </m:rPr>
                <w:rPr>
                  <w:rFonts w:ascii="Cambria Math" w:hAnsi="Cambria Math" w:cs="Times New Roman"/>
                </w:rPr>
                <m:t>B</m:t>
              </m:r>
              <m:r>
                <m:rPr>
                  <m:nor/>
                </m:rPr>
                <w:rPr>
                  <w:rFonts w:ascii="Cambria Math" w:hAnsi="Cambria Math" w:cs="Times New Roman"/>
                </w:rPr>
                <m:t>-</m:t>
              </m:r>
              <m:r>
                <m:rPr>
                  <m:sty m:val="b"/>
                </m:rPr>
                <w:rPr>
                  <w:rFonts w:ascii="Cambria Math" w:hAnsi="Cambria Math"/>
                </w:rPr>
                <m:t>slot</m:t>
              </m:r>
            </m:sup>
          </m:sSubSup>
          <m:r>
            <m:rPr>
              <m:sty m:val="bi"/>
            </m:rPr>
            <w:rPr>
              <w:rFonts w:ascii="Cambria Math" w:hAnsi="Cambria Math"/>
            </w:rPr>
            <m:t>≅B×</m:t>
          </m:r>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BD</m:t>
              </m:r>
              <m:r>
                <m:rPr>
                  <m:sty m:val="b"/>
                </m:rPr>
                <w:rPr>
                  <w:rFonts w:ascii="Cambria Math" w:hAnsi="Cambria Math" w:cs="Times New Roman"/>
                </w:rPr>
                <m:t>, μ</m:t>
              </m:r>
            </m:sub>
            <m:sup>
              <m:r>
                <m:rPr>
                  <m:sty m:val="b"/>
                </m:rPr>
                <w:rPr>
                  <w:rFonts w:ascii="Cambria Math" w:hAnsi="Cambria Math"/>
                </w:rPr>
                <m:t>slot</m:t>
              </m:r>
            </m:sup>
          </m:sSubSup>
        </m:oMath>
        <w:r w:rsidR="009F0E7D">
          <w:rPr>
            <w:rFonts w:eastAsiaTheme="minorEastAsia"/>
          </w:rPr>
          <w:t xml:space="preserve"> and </w:t>
        </w:r>
        <m:oMath>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CCE</m:t>
              </m:r>
              <m:r>
                <m:rPr>
                  <m:sty m:val="b"/>
                </m:rPr>
                <w:rPr>
                  <w:rFonts w:ascii="Cambria Math" w:hAnsi="Cambria Math" w:cs="Times New Roman"/>
                </w:rPr>
                <m:t>, μ</m:t>
              </m:r>
            </m:sub>
            <m:sup>
              <m:r>
                <m:rPr>
                  <m:sty m:val="bi"/>
                </m:rPr>
                <w:rPr>
                  <w:rFonts w:ascii="Cambria Math" w:hAnsi="Cambria Math" w:cs="Times New Roman"/>
                </w:rPr>
                <m:t>B</m:t>
              </m:r>
              <m:r>
                <m:rPr>
                  <m:nor/>
                </m:rPr>
                <w:rPr>
                  <w:rFonts w:ascii="Cambria Math" w:hAnsi="Cambria Math" w:cs="Times New Roman"/>
                </w:rPr>
                <m:t>-</m:t>
              </m:r>
              <m:r>
                <m:rPr>
                  <m:sty m:val="b"/>
                </m:rPr>
                <w:rPr>
                  <w:rFonts w:ascii="Cambria Math" w:hAnsi="Cambria Math"/>
                </w:rPr>
                <m:t>slot</m:t>
              </m:r>
            </m:sup>
          </m:sSubSup>
          <m:r>
            <m:rPr>
              <m:sty m:val="b"/>
            </m:rPr>
            <w:rPr>
              <w:rFonts w:ascii="Cambria Math" w:hAnsi="Cambria Math"/>
            </w:rPr>
            <m:t>≅</m:t>
          </m:r>
          <m:r>
            <m:rPr>
              <m:sty m:val="bi"/>
            </m:rPr>
            <w:rPr>
              <w:rFonts w:ascii="Cambria Math" w:hAnsi="Cambria Math"/>
            </w:rPr>
            <m:t>B</m:t>
          </m:r>
          <m:r>
            <m:rPr>
              <m:sty m:val="b"/>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CCE</m:t>
              </m:r>
              <m:r>
                <m:rPr>
                  <m:sty m:val="b"/>
                </m:rPr>
                <w:rPr>
                  <w:rFonts w:ascii="Cambria Math" w:hAnsi="Cambria Math" w:cs="Times New Roman"/>
                </w:rPr>
                <m:t>, μ</m:t>
              </m:r>
            </m:sub>
            <m:sup>
              <m:r>
                <m:rPr>
                  <m:sty m:val="b"/>
                </m:rPr>
                <w:rPr>
                  <w:rFonts w:ascii="Cambria Math" w:hAnsi="Cambria Math"/>
                </w:rPr>
                <m:t>slot</m:t>
              </m:r>
            </m:sup>
          </m:sSubSup>
        </m:oMath>
        <w:r w:rsidR="009F0E7D">
          <w:rPr>
            <w:rFonts w:eastAsiaTheme="minorEastAsia"/>
          </w:rPr>
          <w:t>.</w:t>
        </w:r>
      </w:hyperlink>
    </w:p>
    <w:p w14:paraId="6F484B7C" w14:textId="77777777" w:rsidR="009F0E7D" w:rsidRDefault="009D54EF">
      <w:pPr>
        <w:pStyle w:val="TableofFigures"/>
        <w:tabs>
          <w:tab w:val="right" w:leader="dot" w:pos="9629"/>
        </w:tabs>
        <w:rPr>
          <w:rFonts w:asciiTheme="minorHAnsi" w:eastAsiaTheme="minorEastAsia" w:hAnsiTheme="minorHAnsi"/>
          <w:b w:val="0"/>
          <w:noProof/>
          <w:sz w:val="22"/>
          <w:lang w:eastAsia="en-US"/>
        </w:rPr>
      </w:pPr>
      <w:hyperlink w:anchor="_Toc61769620" w:history="1">
        <w:r w:rsidR="009F0E7D" w:rsidRPr="008354DD">
          <w:rPr>
            <w:rStyle w:val="Hyperlink"/>
            <w:noProof/>
          </w:rPr>
          <w:t>Proposal 3</w:t>
        </w:r>
        <w:r w:rsidR="009F0E7D">
          <w:rPr>
            <w:rFonts w:asciiTheme="minorHAnsi" w:eastAsiaTheme="minorEastAsia" w:hAnsiTheme="minorHAnsi"/>
            <w:b w:val="0"/>
            <w:noProof/>
            <w:sz w:val="22"/>
            <w:lang w:eastAsia="en-US"/>
          </w:rPr>
          <w:tab/>
        </w:r>
        <w:r w:rsidR="009F0E7D" w:rsidRPr="008354DD">
          <w:rPr>
            <w:rStyle w:val="Hyperlink"/>
            <w:noProof/>
          </w:rPr>
          <w:t>RAN1 strives to narrow down the supported PDCCH monitoring bundle size values to those beneficial to system operations and implementation.</w:t>
        </w:r>
      </w:hyperlink>
    </w:p>
    <w:p w14:paraId="4384BE5F" w14:textId="3D128847" w:rsidR="009F0E7D" w:rsidRDefault="009D54EF">
      <w:pPr>
        <w:pStyle w:val="TableofFigures"/>
        <w:tabs>
          <w:tab w:val="right" w:leader="dot" w:pos="9629"/>
        </w:tabs>
        <w:rPr>
          <w:rFonts w:asciiTheme="minorHAnsi" w:eastAsiaTheme="minorEastAsia" w:hAnsiTheme="minorHAnsi"/>
          <w:b w:val="0"/>
          <w:noProof/>
          <w:sz w:val="22"/>
          <w:lang w:eastAsia="en-US"/>
        </w:rPr>
      </w:pPr>
      <w:hyperlink w:anchor="_Toc61769621" w:history="1">
        <w:r w:rsidR="009F0E7D" w:rsidRPr="008354DD">
          <w:rPr>
            <w:rStyle w:val="Hyperlink"/>
            <w:noProof/>
          </w:rPr>
          <w:t>Proposal 4</w:t>
        </w:r>
        <w:r w:rsidR="009F0E7D">
          <w:rPr>
            <w:rFonts w:asciiTheme="minorHAnsi" w:eastAsiaTheme="minorEastAsia" w:hAnsiTheme="minorHAnsi"/>
            <w:b w:val="0"/>
            <w:noProof/>
            <w:sz w:val="22"/>
            <w:lang w:eastAsia="en-US"/>
          </w:rPr>
          <w:tab/>
        </w:r>
        <w:r w:rsidR="009F0E7D" w:rsidRPr="008354DD">
          <w:rPr>
            <w:rStyle w:val="Hyperlink"/>
            <w:noProof/>
          </w:rPr>
          <w:t xml:space="preserve">A second approach to define the bundled UE PDCCH processing capabilities when PDCCH monitoring per multiple slots is deployed for larger SCS with a PDCCH monitoring frequency equal to that of 120 kHz SCS is to maintain the same UE processing capabilities per-slot as in a 120 kHz SCS system. That is, the bundled UE PDCCH processing capabilities are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BD,</m:t>
              </m:r>
              <m:r>
                <m:rPr>
                  <m:sty m:val="bi"/>
                </m:rPr>
                <w:rPr>
                  <w:rFonts w:ascii="Cambria Math" w:hAnsi="Cambria Math" w:cs="Times New Roman"/>
                </w:rPr>
                <m:t xml:space="preserve"> </m:t>
              </m:r>
              <m:r>
                <m:rPr>
                  <m:sty m:val="b"/>
                </m:rPr>
                <w:rPr>
                  <w:rFonts w:ascii="Cambria Math" w:hAnsi="Cambria Math" w:cs="Times New Roman"/>
                </w:rPr>
                <m:t>μ</m:t>
              </m:r>
            </m:sub>
            <m:sup>
              <m:sSup>
                <m:sSupPr>
                  <m:ctrlPr>
                    <w:rPr>
                      <w:rFonts w:ascii="Cambria Math" w:hAnsi="Cambria Math" w:cs="Times New Roman"/>
                    </w:rPr>
                  </m:ctrlPr>
                </m:sSupPr>
                <m:e>
                  <m:r>
                    <m:rPr>
                      <m:sty m:val="bi"/>
                    </m:rPr>
                    <w:rPr>
                      <w:rFonts w:ascii="Cambria Math" w:hAnsi="Cambria Math" w:cs="Times New Roman"/>
                    </w:rPr>
                    <m:t>2</m:t>
                  </m:r>
                </m:e>
                <m:sup>
                  <m:r>
                    <m:rPr>
                      <m:sty m:val="bi"/>
                    </m:rPr>
                    <w:rPr>
                      <w:rFonts w:ascii="Cambria Math" w:hAnsi="Cambria Math" w:cs="Times New Roman"/>
                    </w:rPr>
                    <m:t>μ</m:t>
                  </m:r>
                  <m:r>
                    <m:rPr>
                      <m:sty m:val="b"/>
                    </m:rPr>
                    <w:rPr>
                      <w:rFonts w:ascii="Cambria Math" w:hAnsi="Cambria Math" w:cs="Times New Roman"/>
                    </w:rPr>
                    <m:t>-3</m:t>
                  </m:r>
                </m:sup>
              </m:sSup>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BD,</m:t>
              </m:r>
              <m:r>
                <m:rPr>
                  <m:sty m:val="bi"/>
                </m:rPr>
                <w:rPr>
                  <w:rFonts w:ascii="Cambria Math" w:hAnsi="Cambria Math" w:cs="Times New Roman"/>
                </w:rPr>
                <m:t>μ</m:t>
              </m:r>
              <m:r>
                <m:rPr>
                  <m:sty m:val="b"/>
                </m:rPr>
                <w:rPr>
                  <w:rFonts w:ascii="Cambria Math" w:hAnsi="Cambria Math" w:cs="Times New Roman"/>
                </w:rPr>
                <m:t>=3</m:t>
              </m:r>
            </m:sub>
            <m:sup>
              <m:r>
                <m:rPr>
                  <m:sty m:val="b"/>
                </m:rPr>
                <w:rPr>
                  <w:rFonts w:ascii="Cambria Math" w:hAnsi="Cambria Math" w:cs="Times New Roman"/>
                </w:rPr>
                <m:t>slot</m:t>
              </m:r>
            </m:sup>
          </m:sSubSup>
        </m:oMath>
        <w:r w:rsidR="009F0E7D" w:rsidRPr="00527D78">
          <w:rPr>
            <w:rFonts w:eastAsiaTheme="minorEastAsia"/>
          </w:rPr>
          <w:t xml:space="preserve">, </w:t>
        </w:r>
        <w:r w:rsidR="009F0E7D">
          <w:rPr>
            <w:rFonts w:eastAsiaTheme="minorEastAsia"/>
          </w:rPr>
          <w:t xml:space="preserve">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μ</m:t>
              </m:r>
            </m:sub>
            <m:sup>
              <m:sSup>
                <m:sSupPr>
                  <m:ctrlPr>
                    <w:rPr>
                      <w:rFonts w:ascii="Cambria Math" w:hAnsi="Cambria Math" w:cs="Times New Roman"/>
                    </w:rPr>
                  </m:ctrlPr>
                </m:sSupPr>
                <m:e>
                  <m:r>
                    <m:rPr>
                      <m:sty m:val="bi"/>
                    </m:rPr>
                    <w:rPr>
                      <w:rFonts w:ascii="Cambria Math" w:hAnsi="Cambria Math" w:cs="Times New Roman"/>
                    </w:rPr>
                    <m:t>2</m:t>
                  </m:r>
                </m:e>
                <m:sup>
                  <m:r>
                    <m:rPr>
                      <m:sty m:val="bi"/>
                    </m:rPr>
                    <w:rPr>
                      <w:rFonts w:ascii="Cambria Math" w:hAnsi="Cambria Math" w:cs="Times New Roman"/>
                    </w:rPr>
                    <m:t>μ</m:t>
                  </m:r>
                  <m:r>
                    <m:rPr>
                      <m:sty m:val="b"/>
                    </m:rPr>
                    <w:rPr>
                      <w:rFonts w:ascii="Cambria Math" w:hAnsi="Cambria Math" w:cs="Times New Roman"/>
                    </w:rPr>
                    <m:t>-3</m:t>
                  </m:r>
                </m:sup>
              </m:sSup>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CCE,</m:t>
              </m:r>
              <m:r>
                <m:rPr>
                  <m:sty m:val="bi"/>
                </m:rPr>
                <w:rPr>
                  <w:rFonts w:ascii="Cambria Math" w:hAnsi="Cambria Math" w:cs="Times New Roman"/>
                </w:rPr>
                <m:t>μ</m:t>
              </m:r>
              <m:r>
                <m:rPr>
                  <m:sty m:val="b"/>
                </m:rPr>
                <w:rPr>
                  <w:rFonts w:ascii="Cambria Math" w:hAnsi="Cambria Math" w:cs="Times New Roman"/>
                </w:rPr>
                <m:t>=3</m:t>
              </m:r>
            </m:sub>
            <m:sup>
              <m:r>
                <m:rPr>
                  <m:sty m:val="b"/>
                </m:rPr>
                <w:rPr>
                  <w:rFonts w:ascii="Cambria Math" w:hAnsi="Cambria Math" w:cs="Times New Roman"/>
                </w:rPr>
                <m:t>slot</m:t>
              </m:r>
            </m:sup>
          </m:sSubSup>
        </m:oMath>
        <w:r w:rsidR="009F0E7D">
          <w:rPr>
            <w:rFonts w:eastAsiaTheme="minorEastAsia"/>
          </w:rPr>
          <w:t>.</w:t>
        </w:r>
      </w:hyperlink>
    </w:p>
    <w:p w14:paraId="568812C2" w14:textId="72712196" w:rsidR="009F0E7D" w:rsidRDefault="009D54EF">
      <w:pPr>
        <w:pStyle w:val="TableofFigures"/>
        <w:tabs>
          <w:tab w:val="right" w:leader="dot" w:pos="9629"/>
        </w:tabs>
        <w:rPr>
          <w:rFonts w:asciiTheme="minorHAnsi" w:eastAsiaTheme="minorEastAsia" w:hAnsiTheme="minorHAnsi"/>
          <w:b w:val="0"/>
          <w:noProof/>
          <w:sz w:val="22"/>
          <w:lang w:eastAsia="en-US"/>
        </w:rPr>
      </w:pPr>
      <w:hyperlink w:anchor="_Toc61769622" w:history="1">
        <w:r w:rsidR="009F0E7D" w:rsidRPr="008354DD">
          <w:rPr>
            <w:rStyle w:val="Hyperlink"/>
            <w:noProof/>
          </w:rPr>
          <w:t>Proposal 5</w:t>
        </w:r>
        <w:r w:rsidR="009F0E7D">
          <w:rPr>
            <w:rFonts w:asciiTheme="minorHAnsi" w:eastAsiaTheme="minorEastAsia" w:hAnsiTheme="minorHAnsi"/>
            <w:b w:val="0"/>
            <w:noProof/>
            <w:sz w:val="22"/>
            <w:lang w:eastAsia="en-US"/>
          </w:rPr>
          <w:tab/>
        </w:r>
        <w:r w:rsidR="009F0E7D" w:rsidRPr="008354DD">
          <w:rPr>
            <w:rStyle w:val="Hyperlink"/>
            <w:noProof/>
          </w:rPr>
          <w:t xml:space="preserve">If arbitrary monitoring bundle size of </w:t>
        </w:r>
        <m:oMath>
          <m:r>
            <m:rPr>
              <m:sty m:val="bi"/>
            </m:rPr>
            <w:rPr>
              <w:rStyle w:val="Hyperlink"/>
              <w:rFonts w:ascii="Cambria Math" w:hAnsi="Cambria Math"/>
              <w:noProof/>
            </w:rPr>
            <m:t>B</m:t>
          </m:r>
        </m:oMath>
        <w:r w:rsidR="009F0E7D" w:rsidRPr="008354DD">
          <w:rPr>
            <w:rStyle w:val="Hyperlink"/>
            <w:noProof/>
          </w:rPr>
          <w:t xml:space="preserve"> is supported for UE capability scaling Option 2, i.e., </w:t>
        </w:r>
        <m:oMath>
          <m:r>
            <m:rPr>
              <m:sty m:val="bi"/>
            </m:rPr>
            <w:rPr>
              <w:rStyle w:val="Hyperlink"/>
              <w:rFonts w:ascii="Cambria Math" w:hAnsi="Cambria Math"/>
              <w:noProof/>
            </w:rPr>
            <m:t>B≠4</m:t>
          </m:r>
        </m:oMath>
        <w:r w:rsidR="009F0E7D" w:rsidRPr="008354DD">
          <w:rPr>
            <w:rStyle w:val="Hyperlink"/>
            <w:noProof/>
          </w:rPr>
          <w:t xml:space="preserve"> for 480 kHz SCS or </w:t>
        </w:r>
        <m:oMath>
          <m:r>
            <m:rPr>
              <m:sty m:val="bi"/>
            </m:rPr>
            <w:rPr>
              <w:rStyle w:val="Hyperlink"/>
              <w:rFonts w:ascii="Cambria Math" w:hAnsi="Cambria Math"/>
              <w:noProof/>
            </w:rPr>
            <m:t>B≠8</m:t>
          </m:r>
        </m:oMath>
        <w:r w:rsidR="009F0E7D" w:rsidRPr="008354DD">
          <w:rPr>
            <w:rStyle w:val="Hyperlink"/>
            <w:noProof/>
          </w:rPr>
          <w:t xml:space="preserve"> for 960 kHz SCS are supported, the bundled UE PDCCH processing capabilities are scaled relative to those for the 120 kHz SCS by a factor of</w:t>
        </w:r>
        <w:r w:rsidR="009F0E7D">
          <w:rPr>
            <w:rStyle w:val="Hyperlink"/>
            <w:noProof/>
          </w:rPr>
          <w:t xml:space="preserve"> </w:t>
        </w:r>
        <m:oMath>
          <m:d>
            <m:dPr>
              <m:begChr m:val="⌈"/>
              <m:endChr m:val="⌉"/>
              <m:ctrlPr>
                <w:rPr>
                  <w:rFonts w:ascii="Cambria Math" w:hAnsi="Cambria Math" w:cs="Times New Roman"/>
                  <w:b w:val="0"/>
                  <w:bCs/>
                  <w:i/>
                </w:rPr>
              </m:ctrlPr>
            </m:dPr>
            <m:e>
              <m:f>
                <m:fPr>
                  <m:ctrlPr>
                    <w:rPr>
                      <w:rFonts w:ascii="Cambria Math" w:hAnsi="Cambria Math" w:cs="Times New Roman"/>
                      <w:b w:val="0"/>
                      <w:bCs/>
                      <w:i/>
                    </w:rPr>
                  </m:ctrlPr>
                </m:fPr>
                <m:num>
                  <m:r>
                    <m:rPr>
                      <m:sty m:val="bi"/>
                    </m:rPr>
                    <w:rPr>
                      <w:rFonts w:ascii="Cambria Math" w:hAnsi="Cambria Math" w:cs="Times New Roman"/>
                    </w:rPr>
                    <m:t>B</m:t>
                  </m:r>
                </m:num>
                <m:den>
                  <m:sSup>
                    <m:sSupPr>
                      <m:ctrlPr>
                        <w:rPr>
                          <w:rFonts w:ascii="Cambria Math" w:hAnsi="Cambria Math" w:cs="Times New Roman"/>
                          <w:b w:val="0"/>
                          <w:bCs/>
                        </w:rPr>
                      </m:ctrlPr>
                    </m:sSupPr>
                    <m:e>
                      <m:r>
                        <m:rPr>
                          <m:sty m:val="bi"/>
                        </m:rPr>
                        <w:rPr>
                          <w:rFonts w:ascii="Cambria Math" w:hAnsi="Cambria Math" w:cs="Times New Roman"/>
                        </w:rPr>
                        <m:t>2</m:t>
                      </m:r>
                    </m:e>
                    <m:sup>
                      <m:r>
                        <m:rPr>
                          <m:sty m:val="bi"/>
                        </m:rPr>
                        <w:rPr>
                          <w:rFonts w:ascii="Cambria Math" w:hAnsi="Cambria Math" w:cs="Times New Roman"/>
                        </w:rPr>
                        <m:t>μ</m:t>
                      </m:r>
                      <m:r>
                        <m:rPr>
                          <m:sty m:val="b"/>
                        </m:rPr>
                        <w:rPr>
                          <w:rFonts w:ascii="Cambria Math" w:hAnsi="Cambria Math" w:cs="Times New Roman"/>
                        </w:rPr>
                        <m:t>-3</m:t>
                      </m:r>
                    </m:sup>
                  </m:sSup>
                </m:den>
              </m:f>
            </m:e>
          </m:d>
        </m:oMath>
        <w:r w:rsidR="009F0E7D">
          <w:rPr>
            <w:rFonts w:eastAsiaTheme="minorEastAsia"/>
          </w:rPr>
          <w:t>.</w:t>
        </w:r>
      </w:hyperlink>
    </w:p>
    <w:p w14:paraId="322E8AFD" w14:textId="3D448AEC" w:rsidR="00394451" w:rsidRPr="00CE0424" w:rsidRDefault="00394451" w:rsidP="00394451">
      <w:pPr>
        <w:pStyle w:val="BodyText"/>
        <w:rPr>
          <w:b/>
          <w:bCs/>
        </w:rPr>
      </w:pPr>
      <w:r>
        <w:rPr>
          <w:b/>
          <w:bCs/>
        </w:rPr>
        <w:fldChar w:fldCharType="end"/>
      </w:r>
      <w:r w:rsidRPr="00CE0424">
        <w:rPr>
          <w:b/>
          <w:bCs/>
        </w:rPr>
        <w:t xml:space="preserve"> </w:t>
      </w:r>
    </w:p>
    <w:p w14:paraId="3E96C83A" w14:textId="77777777" w:rsidR="00394451" w:rsidRPr="00CE0424" w:rsidRDefault="00394451" w:rsidP="00394451">
      <w:pPr>
        <w:pStyle w:val="Heading1"/>
      </w:pPr>
      <w:bookmarkStart w:id="15" w:name="_In-sequence_SDU_delivery"/>
      <w:bookmarkEnd w:id="15"/>
      <w:r w:rsidRPr="00CE0424">
        <w:t>References</w:t>
      </w:r>
    </w:p>
    <w:p w14:paraId="50096CA9" w14:textId="1DEA5D79" w:rsidR="007F69B7" w:rsidRPr="007F69B7" w:rsidRDefault="007F69B7" w:rsidP="007F69B7">
      <w:pPr>
        <w:pStyle w:val="Reference"/>
      </w:pPr>
      <w:bookmarkStart w:id="16" w:name="_Ref61437387"/>
      <w:bookmarkStart w:id="17" w:name="_Ref174151459"/>
      <w:bookmarkStart w:id="18" w:name="_Ref189809556"/>
      <w:r w:rsidRPr="007F69B7">
        <w:t>RP-</w:t>
      </w:r>
      <w:r w:rsidR="00240B19">
        <w:t>20</w:t>
      </w:r>
      <w:r w:rsidRPr="007F69B7">
        <w:t>29</w:t>
      </w:r>
      <w:r w:rsidR="00240B19">
        <w:t>25</w:t>
      </w:r>
      <w:r w:rsidRPr="007F69B7">
        <w:t xml:space="preserve">, </w:t>
      </w:r>
      <w:r w:rsidR="004D0756">
        <w:t>Revised</w:t>
      </w:r>
      <w:r w:rsidRPr="007F69B7">
        <w:t xml:space="preserve"> WID on Extending current NR operation to 71 GHz</w:t>
      </w:r>
      <w:bookmarkEnd w:id="16"/>
    </w:p>
    <w:p w14:paraId="4B7CFDEC" w14:textId="22704A59" w:rsidR="00291B53" w:rsidRPr="00CE0424" w:rsidRDefault="00291B53" w:rsidP="00394451">
      <w:pPr>
        <w:pStyle w:val="Reference"/>
      </w:pPr>
      <w:bookmarkStart w:id="19" w:name="_Ref60826533"/>
      <w:bookmarkEnd w:id="17"/>
      <w:bookmarkEnd w:id="18"/>
      <w:r>
        <w:t>RAN1 #103-e chairman’s notes</w:t>
      </w:r>
      <w:bookmarkEnd w:id="19"/>
    </w:p>
    <w:p w14:paraId="715CA09B" w14:textId="77777777" w:rsidR="003A7EF3" w:rsidRPr="00394451" w:rsidRDefault="003A7EF3" w:rsidP="00394451"/>
    <w:sectPr w:rsidR="003A7EF3" w:rsidRPr="00394451"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1182C" w14:textId="77777777" w:rsidR="00FB1644" w:rsidRDefault="00FB1644">
      <w:r>
        <w:separator/>
      </w:r>
    </w:p>
  </w:endnote>
  <w:endnote w:type="continuationSeparator" w:id="0">
    <w:p w14:paraId="7C6E9569" w14:textId="77777777" w:rsidR="00FB1644" w:rsidRDefault="00FB1644">
      <w:r>
        <w:continuationSeparator/>
      </w:r>
    </w:p>
  </w:endnote>
  <w:endnote w:type="continuationNotice" w:id="1">
    <w:p w14:paraId="39241E37" w14:textId="77777777" w:rsidR="00FB1644" w:rsidRDefault="00FB16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77777777" w:rsidR="00FB1644" w:rsidRDefault="00FB164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A630FF" w14:textId="77777777" w:rsidR="00FB1644" w:rsidRDefault="00FB1644">
      <w:r>
        <w:separator/>
      </w:r>
    </w:p>
  </w:footnote>
  <w:footnote w:type="continuationSeparator" w:id="0">
    <w:p w14:paraId="79D23BAC" w14:textId="77777777" w:rsidR="00FB1644" w:rsidRDefault="00FB1644">
      <w:r>
        <w:continuationSeparator/>
      </w:r>
    </w:p>
  </w:footnote>
  <w:footnote w:type="continuationNotice" w:id="1">
    <w:p w14:paraId="16B6FB5A" w14:textId="77777777" w:rsidR="00FB1644" w:rsidRDefault="00FB16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FB1644" w:rsidRDefault="00FB164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0E9D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B9482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8E931F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7B1464"/>
    <w:multiLevelType w:val="hybridMultilevel"/>
    <w:tmpl w:val="823E16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A620CD"/>
    <w:multiLevelType w:val="hybridMultilevel"/>
    <w:tmpl w:val="3ABCCE2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96316FC"/>
    <w:multiLevelType w:val="hybridMultilevel"/>
    <w:tmpl w:val="C0A4DE4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5"/>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2"/>
  </w:num>
  <w:num w:numId="17">
    <w:abstractNumId w:val="5"/>
  </w:num>
  <w:num w:numId="18">
    <w:abstractNumId w:val="6"/>
  </w:num>
  <w:num w:numId="19">
    <w:abstractNumId w:val="4"/>
  </w:num>
  <w:num w:numId="20">
    <w:abstractNumId w:val="24"/>
  </w:num>
  <w:num w:numId="21">
    <w:abstractNumId w:val="11"/>
  </w:num>
  <w:num w:numId="22">
    <w:abstractNumId w:val="23"/>
  </w:num>
  <w:num w:numId="23">
    <w:abstractNumId w:val="21"/>
  </w:num>
  <w:num w:numId="24">
    <w:abstractNumId w:val="16"/>
  </w:num>
  <w:num w:numId="25">
    <w:abstractNumId w:val="25"/>
  </w:num>
  <w:num w:numId="2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464"/>
    <w:rsid w:val="00006896"/>
    <w:rsid w:val="00007CDC"/>
    <w:rsid w:val="00010463"/>
    <w:rsid w:val="00011B28"/>
    <w:rsid w:val="00013671"/>
    <w:rsid w:val="00014B54"/>
    <w:rsid w:val="00015D15"/>
    <w:rsid w:val="000160D3"/>
    <w:rsid w:val="00016E27"/>
    <w:rsid w:val="000171DE"/>
    <w:rsid w:val="0002564D"/>
    <w:rsid w:val="00025ECA"/>
    <w:rsid w:val="00031F7A"/>
    <w:rsid w:val="000325B8"/>
    <w:rsid w:val="00034C15"/>
    <w:rsid w:val="00034CB4"/>
    <w:rsid w:val="00036BA1"/>
    <w:rsid w:val="000422E2"/>
    <w:rsid w:val="00042F22"/>
    <w:rsid w:val="00043525"/>
    <w:rsid w:val="000444EF"/>
    <w:rsid w:val="00052A07"/>
    <w:rsid w:val="000534E3"/>
    <w:rsid w:val="0005606A"/>
    <w:rsid w:val="00057117"/>
    <w:rsid w:val="00061511"/>
    <w:rsid w:val="000616E7"/>
    <w:rsid w:val="0006487E"/>
    <w:rsid w:val="00065E1A"/>
    <w:rsid w:val="0006601C"/>
    <w:rsid w:val="00066C5C"/>
    <w:rsid w:val="00077E5F"/>
    <w:rsid w:val="0008036A"/>
    <w:rsid w:val="00081AE6"/>
    <w:rsid w:val="000855EB"/>
    <w:rsid w:val="00085B52"/>
    <w:rsid w:val="000866F2"/>
    <w:rsid w:val="0009009F"/>
    <w:rsid w:val="00091557"/>
    <w:rsid w:val="000924C1"/>
    <w:rsid w:val="000924F0"/>
    <w:rsid w:val="00093474"/>
    <w:rsid w:val="00093ADF"/>
    <w:rsid w:val="0009510F"/>
    <w:rsid w:val="00096693"/>
    <w:rsid w:val="00096820"/>
    <w:rsid w:val="0009739A"/>
    <w:rsid w:val="000A1B7B"/>
    <w:rsid w:val="000A3A5B"/>
    <w:rsid w:val="000A56F2"/>
    <w:rsid w:val="000B2719"/>
    <w:rsid w:val="000B2806"/>
    <w:rsid w:val="000B2CC9"/>
    <w:rsid w:val="000B30A4"/>
    <w:rsid w:val="000B3A8F"/>
    <w:rsid w:val="000B4AB9"/>
    <w:rsid w:val="000B54B9"/>
    <w:rsid w:val="000B58C3"/>
    <w:rsid w:val="000B61E9"/>
    <w:rsid w:val="000B62E5"/>
    <w:rsid w:val="000C165A"/>
    <w:rsid w:val="000C2E19"/>
    <w:rsid w:val="000D0C6B"/>
    <w:rsid w:val="000D0D07"/>
    <w:rsid w:val="000D4797"/>
    <w:rsid w:val="000E0527"/>
    <w:rsid w:val="000E1E92"/>
    <w:rsid w:val="000F06D6"/>
    <w:rsid w:val="000F0EB1"/>
    <w:rsid w:val="000F1106"/>
    <w:rsid w:val="000F3BE9"/>
    <w:rsid w:val="000F3F6C"/>
    <w:rsid w:val="000F69C8"/>
    <w:rsid w:val="000F6DF3"/>
    <w:rsid w:val="000F79E0"/>
    <w:rsid w:val="001005FF"/>
    <w:rsid w:val="00101653"/>
    <w:rsid w:val="001062FB"/>
    <w:rsid w:val="001063E6"/>
    <w:rsid w:val="0011113E"/>
    <w:rsid w:val="00113936"/>
    <w:rsid w:val="00113CF4"/>
    <w:rsid w:val="001141D4"/>
    <w:rsid w:val="001153EA"/>
    <w:rsid w:val="00115643"/>
    <w:rsid w:val="00116765"/>
    <w:rsid w:val="001219F5"/>
    <w:rsid w:val="00121A20"/>
    <w:rsid w:val="0012295E"/>
    <w:rsid w:val="00122BB1"/>
    <w:rsid w:val="0012377F"/>
    <w:rsid w:val="00123C95"/>
    <w:rsid w:val="00124314"/>
    <w:rsid w:val="00126B4A"/>
    <w:rsid w:val="001313CD"/>
    <w:rsid w:val="00132FD0"/>
    <w:rsid w:val="001344C0"/>
    <w:rsid w:val="001346FA"/>
    <w:rsid w:val="00135252"/>
    <w:rsid w:val="00135959"/>
    <w:rsid w:val="00137AB5"/>
    <w:rsid w:val="00137F0B"/>
    <w:rsid w:val="0014122C"/>
    <w:rsid w:val="00151E23"/>
    <w:rsid w:val="001526E0"/>
    <w:rsid w:val="001551B5"/>
    <w:rsid w:val="00156937"/>
    <w:rsid w:val="001659C1"/>
    <w:rsid w:val="00173A8E"/>
    <w:rsid w:val="0017502C"/>
    <w:rsid w:val="0018143F"/>
    <w:rsid w:val="00181B7A"/>
    <w:rsid w:val="00181FF8"/>
    <w:rsid w:val="00182B5B"/>
    <w:rsid w:val="0018718F"/>
    <w:rsid w:val="00190AC1"/>
    <w:rsid w:val="00191EEA"/>
    <w:rsid w:val="0019341A"/>
    <w:rsid w:val="00197DF9"/>
    <w:rsid w:val="001A1987"/>
    <w:rsid w:val="001A2564"/>
    <w:rsid w:val="001A4F3E"/>
    <w:rsid w:val="001A6173"/>
    <w:rsid w:val="001A6CBA"/>
    <w:rsid w:val="001B0D97"/>
    <w:rsid w:val="001B2F23"/>
    <w:rsid w:val="001B5222"/>
    <w:rsid w:val="001B5A5D"/>
    <w:rsid w:val="001B7F5D"/>
    <w:rsid w:val="001C0145"/>
    <w:rsid w:val="001C1CE5"/>
    <w:rsid w:val="001C3D2A"/>
    <w:rsid w:val="001D01B7"/>
    <w:rsid w:val="001D51BA"/>
    <w:rsid w:val="001D53E7"/>
    <w:rsid w:val="001D6342"/>
    <w:rsid w:val="001D6D53"/>
    <w:rsid w:val="001E58E2"/>
    <w:rsid w:val="001E7AED"/>
    <w:rsid w:val="001F0FD1"/>
    <w:rsid w:val="001F351A"/>
    <w:rsid w:val="001F3916"/>
    <w:rsid w:val="001F54C5"/>
    <w:rsid w:val="001F662C"/>
    <w:rsid w:val="001F7074"/>
    <w:rsid w:val="00200490"/>
    <w:rsid w:val="00201F3A"/>
    <w:rsid w:val="00201FB6"/>
    <w:rsid w:val="00203F96"/>
    <w:rsid w:val="0020543C"/>
    <w:rsid w:val="002069B2"/>
    <w:rsid w:val="00207DB6"/>
    <w:rsid w:val="00207FA3"/>
    <w:rsid w:val="00210749"/>
    <w:rsid w:val="00212218"/>
    <w:rsid w:val="00212D96"/>
    <w:rsid w:val="00214DA8"/>
    <w:rsid w:val="00215423"/>
    <w:rsid w:val="002158FA"/>
    <w:rsid w:val="002174FB"/>
    <w:rsid w:val="00220600"/>
    <w:rsid w:val="00220791"/>
    <w:rsid w:val="002224DB"/>
    <w:rsid w:val="00223FCB"/>
    <w:rsid w:val="002241FF"/>
    <w:rsid w:val="00224282"/>
    <w:rsid w:val="0022529E"/>
    <w:rsid w:val="002252C3"/>
    <w:rsid w:val="00225C54"/>
    <w:rsid w:val="00230765"/>
    <w:rsid w:val="00230D18"/>
    <w:rsid w:val="002319E4"/>
    <w:rsid w:val="00235632"/>
    <w:rsid w:val="00235872"/>
    <w:rsid w:val="00236B44"/>
    <w:rsid w:val="00236E70"/>
    <w:rsid w:val="00240B19"/>
    <w:rsid w:val="00241559"/>
    <w:rsid w:val="002435B3"/>
    <w:rsid w:val="00243FFE"/>
    <w:rsid w:val="00244E30"/>
    <w:rsid w:val="002458EB"/>
    <w:rsid w:val="00245A73"/>
    <w:rsid w:val="0025003E"/>
    <w:rsid w:val="002500C8"/>
    <w:rsid w:val="00255528"/>
    <w:rsid w:val="00256760"/>
    <w:rsid w:val="00256A57"/>
    <w:rsid w:val="00256AF6"/>
    <w:rsid w:val="00257543"/>
    <w:rsid w:val="002617E7"/>
    <w:rsid w:val="00264228"/>
    <w:rsid w:val="00264334"/>
    <w:rsid w:val="0026473E"/>
    <w:rsid w:val="00266214"/>
    <w:rsid w:val="00267C83"/>
    <w:rsid w:val="0027144F"/>
    <w:rsid w:val="00271813"/>
    <w:rsid w:val="002718F8"/>
    <w:rsid w:val="00271F3A"/>
    <w:rsid w:val="002729FD"/>
    <w:rsid w:val="00273278"/>
    <w:rsid w:val="002737F4"/>
    <w:rsid w:val="002805F5"/>
    <w:rsid w:val="00280751"/>
    <w:rsid w:val="00281D02"/>
    <w:rsid w:val="0028280A"/>
    <w:rsid w:val="00285E08"/>
    <w:rsid w:val="0028615B"/>
    <w:rsid w:val="00286ACD"/>
    <w:rsid w:val="00287838"/>
    <w:rsid w:val="002907B5"/>
    <w:rsid w:val="00291B53"/>
    <w:rsid w:val="00292EB7"/>
    <w:rsid w:val="00295441"/>
    <w:rsid w:val="00296227"/>
    <w:rsid w:val="00296F44"/>
    <w:rsid w:val="0029777D"/>
    <w:rsid w:val="002A055E"/>
    <w:rsid w:val="002A1D4E"/>
    <w:rsid w:val="002A2869"/>
    <w:rsid w:val="002A5973"/>
    <w:rsid w:val="002B24D6"/>
    <w:rsid w:val="002B5BD3"/>
    <w:rsid w:val="002C41E6"/>
    <w:rsid w:val="002C607D"/>
    <w:rsid w:val="002D071A"/>
    <w:rsid w:val="002D08C0"/>
    <w:rsid w:val="002D0D13"/>
    <w:rsid w:val="002D34B2"/>
    <w:rsid w:val="002D47A4"/>
    <w:rsid w:val="002D48B0"/>
    <w:rsid w:val="002D5B37"/>
    <w:rsid w:val="002D6C4C"/>
    <w:rsid w:val="002D7637"/>
    <w:rsid w:val="002E17F2"/>
    <w:rsid w:val="002E4F57"/>
    <w:rsid w:val="002E7CAE"/>
    <w:rsid w:val="002F13E4"/>
    <w:rsid w:val="002F2771"/>
    <w:rsid w:val="002F37A9"/>
    <w:rsid w:val="002F3D2D"/>
    <w:rsid w:val="002F4C68"/>
    <w:rsid w:val="002F6210"/>
    <w:rsid w:val="003001A1"/>
    <w:rsid w:val="00301CE6"/>
    <w:rsid w:val="0030256B"/>
    <w:rsid w:val="0030275E"/>
    <w:rsid w:val="00303974"/>
    <w:rsid w:val="0030425B"/>
    <w:rsid w:val="0030501F"/>
    <w:rsid w:val="00305A70"/>
    <w:rsid w:val="00305C09"/>
    <w:rsid w:val="00307BA1"/>
    <w:rsid w:val="00307D89"/>
    <w:rsid w:val="00311702"/>
    <w:rsid w:val="00311E82"/>
    <w:rsid w:val="00313FD6"/>
    <w:rsid w:val="003143BD"/>
    <w:rsid w:val="00315363"/>
    <w:rsid w:val="00315FB6"/>
    <w:rsid w:val="003203ED"/>
    <w:rsid w:val="00322C9F"/>
    <w:rsid w:val="0032479F"/>
    <w:rsid w:val="00324D23"/>
    <w:rsid w:val="003253B6"/>
    <w:rsid w:val="00326802"/>
    <w:rsid w:val="0033091A"/>
    <w:rsid w:val="00331751"/>
    <w:rsid w:val="003325A4"/>
    <w:rsid w:val="00332C63"/>
    <w:rsid w:val="00334579"/>
    <w:rsid w:val="00335858"/>
    <w:rsid w:val="00336BDA"/>
    <w:rsid w:val="0033745D"/>
    <w:rsid w:val="00342BD7"/>
    <w:rsid w:val="00346DB5"/>
    <w:rsid w:val="003477B1"/>
    <w:rsid w:val="00355601"/>
    <w:rsid w:val="00357380"/>
    <w:rsid w:val="003602D9"/>
    <w:rsid w:val="003604CE"/>
    <w:rsid w:val="00370E47"/>
    <w:rsid w:val="003742AC"/>
    <w:rsid w:val="00377CE1"/>
    <w:rsid w:val="00385BF0"/>
    <w:rsid w:val="00386836"/>
    <w:rsid w:val="003939FF"/>
    <w:rsid w:val="00394451"/>
    <w:rsid w:val="003948E4"/>
    <w:rsid w:val="00395A52"/>
    <w:rsid w:val="003A078A"/>
    <w:rsid w:val="003A2223"/>
    <w:rsid w:val="003A2A0F"/>
    <w:rsid w:val="003A45A1"/>
    <w:rsid w:val="003A4A18"/>
    <w:rsid w:val="003A5B0A"/>
    <w:rsid w:val="003A6BAC"/>
    <w:rsid w:val="003A6F2A"/>
    <w:rsid w:val="003A70A4"/>
    <w:rsid w:val="003A7B3F"/>
    <w:rsid w:val="003A7EF3"/>
    <w:rsid w:val="003B159C"/>
    <w:rsid w:val="003B2D4B"/>
    <w:rsid w:val="003B369F"/>
    <w:rsid w:val="003B36A3"/>
    <w:rsid w:val="003B64BB"/>
    <w:rsid w:val="003B7247"/>
    <w:rsid w:val="003B7FE5"/>
    <w:rsid w:val="003C11C8"/>
    <w:rsid w:val="003C2702"/>
    <w:rsid w:val="003C3C1B"/>
    <w:rsid w:val="003C7806"/>
    <w:rsid w:val="003D109F"/>
    <w:rsid w:val="003D2478"/>
    <w:rsid w:val="003D3C45"/>
    <w:rsid w:val="003D4A07"/>
    <w:rsid w:val="003D5B1F"/>
    <w:rsid w:val="003D6D51"/>
    <w:rsid w:val="003E15FA"/>
    <w:rsid w:val="003E33A4"/>
    <w:rsid w:val="003E55E4"/>
    <w:rsid w:val="003E5FB9"/>
    <w:rsid w:val="003E74E3"/>
    <w:rsid w:val="003F05C7"/>
    <w:rsid w:val="003F1DBF"/>
    <w:rsid w:val="003F2CD4"/>
    <w:rsid w:val="003F38A6"/>
    <w:rsid w:val="003F38EF"/>
    <w:rsid w:val="003F6BBE"/>
    <w:rsid w:val="003F755F"/>
    <w:rsid w:val="004000E8"/>
    <w:rsid w:val="00402E2B"/>
    <w:rsid w:val="0040512B"/>
    <w:rsid w:val="00405CA5"/>
    <w:rsid w:val="00407CD3"/>
    <w:rsid w:val="00410134"/>
    <w:rsid w:val="00410ADF"/>
    <w:rsid w:val="00410B72"/>
    <w:rsid w:val="00410F18"/>
    <w:rsid w:val="0041263E"/>
    <w:rsid w:val="00413AAC"/>
    <w:rsid w:val="00413E92"/>
    <w:rsid w:val="00416521"/>
    <w:rsid w:val="00421105"/>
    <w:rsid w:val="00422AA4"/>
    <w:rsid w:val="004242F4"/>
    <w:rsid w:val="00425073"/>
    <w:rsid w:val="00425DA9"/>
    <w:rsid w:val="00426599"/>
    <w:rsid w:val="00427248"/>
    <w:rsid w:val="00431787"/>
    <w:rsid w:val="00437447"/>
    <w:rsid w:val="004407C5"/>
    <w:rsid w:val="00440E41"/>
    <w:rsid w:val="00441A92"/>
    <w:rsid w:val="004431DC"/>
    <w:rsid w:val="00444F56"/>
    <w:rsid w:val="0044529B"/>
    <w:rsid w:val="00446488"/>
    <w:rsid w:val="004517AA"/>
    <w:rsid w:val="00452CAC"/>
    <w:rsid w:val="00455883"/>
    <w:rsid w:val="00457565"/>
    <w:rsid w:val="00457B71"/>
    <w:rsid w:val="004617AD"/>
    <w:rsid w:val="00463E2C"/>
    <w:rsid w:val="00464689"/>
    <w:rsid w:val="004669E2"/>
    <w:rsid w:val="00470C31"/>
    <w:rsid w:val="00471DE0"/>
    <w:rsid w:val="004734D0"/>
    <w:rsid w:val="0047556B"/>
    <w:rsid w:val="00477768"/>
    <w:rsid w:val="004809F7"/>
    <w:rsid w:val="00483275"/>
    <w:rsid w:val="0048328D"/>
    <w:rsid w:val="00487CEA"/>
    <w:rsid w:val="00492BC5"/>
    <w:rsid w:val="0049391E"/>
    <w:rsid w:val="004964F1"/>
    <w:rsid w:val="004A16BC"/>
    <w:rsid w:val="004A2B94"/>
    <w:rsid w:val="004A5C69"/>
    <w:rsid w:val="004A64DA"/>
    <w:rsid w:val="004A7CDE"/>
    <w:rsid w:val="004B09D9"/>
    <w:rsid w:val="004B6F6A"/>
    <w:rsid w:val="004B7C0C"/>
    <w:rsid w:val="004C3898"/>
    <w:rsid w:val="004C430C"/>
    <w:rsid w:val="004C700E"/>
    <w:rsid w:val="004D0756"/>
    <w:rsid w:val="004D119C"/>
    <w:rsid w:val="004D15CC"/>
    <w:rsid w:val="004D36B1"/>
    <w:rsid w:val="004D5D08"/>
    <w:rsid w:val="004D753F"/>
    <w:rsid w:val="004D7EBD"/>
    <w:rsid w:val="004E095A"/>
    <w:rsid w:val="004E2680"/>
    <w:rsid w:val="004E28F9"/>
    <w:rsid w:val="004E462E"/>
    <w:rsid w:val="004E56DC"/>
    <w:rsid w:val="004E5E07"/>
    <w:rsid w:val="004E637E"/>
    <w:rsid w:val="004E6636"/>
    <w:rsid w:val="004E68F1"/>
    <w:rsid w:val="004E76F4"/>
    <w:rsid w:val="004F0B4E"/>
    <w:rsid w:val="004F0B6C"/>
    <w:rsid w:val="004F2078"/>
    <w:rsid w:val="004F4DA3"/>
    <w:rsid w:val="004F6CB0"/>
    <w:rsid w:val="00506557"/>
    <w:rsid w:val="0050677A"/>
    <w:rsid w:val="005108D8"/>
    <w:rsid w:val="00510E31"/>
    <w:rsid w:val="005116F9"/>
    <w:rsid w:val="005153A7"/>
    <w:rsid w:val="00515A66"/>
    <w:rsid w:val="005200B7"/>
    <w:rsid w:val="005219CF"/>
    <w:rsid w:val="00524AE2"/>
    <w:rsid w:val="0052578F"/>
    <w:rsid w:val="00527D78"/>
    <w:rsid w:val="005311BA"/>
    <w:rsid w:val="005332B1"/>
    <w:rsid w:val="00534B59"/>
    <w:rsid w:val="005363A7"/>
    <w:rsid w:val="00536759"/>
    <w:rsid w:val="00537C62"/>
    <w:rsid w:val="005404D3"/>
    <w:rsid w:val="00546970"/>
    <w:rsid w:val="00552960"/>
    <w:rsid w:val="00553425"/>
    <w:rsid w:val="00554E19"/>
    <w:rsid w:val="005571F9"/>
    <w:rsid w:val="00560D6F"/>
    <w:rsid w:val="0056121F"/>
    <w:rsid w:val="0056378E"/>
    <w:rsid w:val="0056639F"/>
    <w:rsid w:val="00572505"/>
    <w:rsid w:val="00582809"/>
    <w:rsid w:val="00585CB4"/>
    <w:rsid w:val="00586E84"/>
    <w:rsid w:val="0058798C"/>
    <w:rsid w:val="005900FA"/>
    <w:rsid w:val="00591A94"/>
    <w:rsid w:val="005935A4"/>
    <w:rsid w:val="005948C2"/>
    <w:rsid w:val="00595DCA"/>
    <w:rsid w:val="0059779B"/>
    <w:rsid w:val="005A1F5D"/>
    <w:rsid w:val="005A209A"/>
    <w:rsid w:val="005A2347"/>
    <w:rsid w:val="005A662D"/>
    <w:rsid w:val="005A78B1"/>
    <w:rsid w:val="005B1409"/>
    <w:rsid w:val="005B16CB"/>
    <w:rsid w:val="005B35D7"/>
    <w:rsid w:val="005B392A"/>
    <w:rsid w:val="005B3AA3"/>
    <w:rsid w:val="005B435E"/>
    <w:rsid w:val="005B6F83"/>
    <w:rsid w:val="005C74FB"/>
    <w:rsid w:val="005D004D"/>
    <w:rsid w:val="005D1602"/>
    <w:rsid w:val="005D6F8F"/>
    <w:rsid w:val="005D793C"/>
    <w:rsid w:val="005E3525"/>
    <w:rsid w:val="005E385F"/>
    <w:rsid w:val="005E5B81"/>
    <w:rsid w:val="005E69D8"/>
    <w:rsid w:val="005F0654"/>
    <w:rsid w:val="005F2CB1"/>
    <w:rsid w:val="005F3025"/>
    <w:rsid w:val="005F42E1"/>
    <w:rsid w:val="005F618C"/>
    <w:rsid w:val="005F6834"/>
    <w:rsid w:val="005F70BD"/>
    <w:rsid w:val="00601EFA"/>
    <w:rsid w:val="0060283C"/>
    <w:rsid w:val="00602B7C"/>
    <w:rsid w:val="00604F14"/>
    <w:rsid w:val="00611B83"/>
    <w:rsid w:val="00613257"/>
    <w:rsid w:val="006173A4"/>
    <w:rsid w:val="00620A71"/>
    <w:rsid w:val="00620D80"/>
    <w:rsid w:val="00622BE3"/>
    <w:rsid w:val="006234A6"/>
    <w:rsid w:val="006249E3"/>
    <w:rsid w:val="00630001"/>
    <w:rsid w:val="006311B3"/>
    <w:rsid w:val="006313FC"/>
    <w:rsid w:val="0063284C"/>
    <w:rsid w:val="00635250"/>
    <w:rsid w:val="00635D16"/>
    <w:rsid w:val="006362A4"/>
    <w:rsid w:val="00636398"/>
    <w:rsid w:val="006368D3"/>
    <w:rsid w:val="006377EC"/>
    <w:rsid w:val="0064151F"/>
    <w:rsid w:val="00641533"/>
    <w:rsid w:val="0064208D"/>
    <w:rsid w:val="0064310B"/>
    <w:rsid w:val="00643475"/>
    <w:rsid w:val="0064396A"/>
    <w:rsid w:val="0064550B"/>
    <w:rsid w:val="0064624E"/>
    <w:rsid w:val="00650AB9"/>
    <w:rsid w:val="00653C3F"/>
    <w:rsid w:val="00655733"/>
    <w:rsid w:val="0065579E"/>
    <w:rsid w:val="00655ACD"/>
    <w:rsid w:val="00655EB6"/>
    <w:rsid w:val="006563F7"/>
    <w:rsid w:val="00656A92"/>
    <w:rsid w:val="00656DDE"/>
    <w:rsid w:val="0066011D"/>
    <w:rsid w:val="006607C0"/>
    <w:rsid w:val="006613A6"/>
    <w:rsid w:val="00662625"/>
    <w:rsid w:val="006627A2"/>
    <w:rsid w:val="006634E6"/>
    <w:rsid w:val="006655EE"/>
    <w:rsid w:val="00667EE7"/>
    <w:rsid w:val="00670922"/>
    <w:rsid w:val="00670BE1"/>
    <w:rsid w:val="00670C80"/>
    <w:rsid w:val="00671D1C"/>
    <w:rsid w:val="0067218F"/>
    <w:rsid w:val="006741F2"/>
    <w:rsid w:val="00674CC3"/>
    <w:rsid w:val="00675C72"/>
    <w:rsid w:val="00675F35"/>
    <w:rsid w:val="006771F9"/>
    <w:rsid w:val="006776D7"/>
    <w:rsid w:val="00681003"/>
    <w:rsid w:val="006817C9"/>
    <w:rsid w:val="00682FF5"/>
    <w:rsid w:val="00683ECE"/>
    <w:rsid w:val="00691CA5"/>
    <w:rsid w:val="00695FC2"/>
    <w:rsid w:val="00696949"/>
    <w:rsid w:val="00697052"/>
    <w:rsid w:val="00697683"/>
    <w:rsid w:val="006A30B6"/>
    <w:rsid w:val="006A46FB"/>
    <w:rsid w:val="006A5E28"/>
    <w:rsid w:val="006A697B"/>
    <w:rsid w:val="006A6C55"/>
    <w:rsid w:val="006A7AFF"/>
    <w:rsid w:val="006B1816"/>
    <w:rsid w:val="006B2099"/>
    <w:rsid w:val="006B50CF"/>
    <w:rsid w:val="006C03B8"/>
    <w:rsid w:val="006C0A5A"/>
    <w:rsid w:val="006C2FE5"/>
    <w:rsid w:val="006C5EC9"/>
    <w:rsid w:val="006C6059"/>
    <w:rsid w:val="006C7522"/>
    <w:rsid w:val="006D0AA2"/>
    <w:rsid w:val="006D2855"/>
    <w:rsid w:val="006D6F08"/>
    <w:rsid w:val="006D7EFB"/>
    <w:rsid w:val="006E062C"/>
    <w:rsid w:val="006E1C82"/>
    <w:rsid w:val="006E28B7"/>
    <w:rsid w:val="006E2A9B"/>
    <w:rsid w:val="006E3310"/>
    <w:rsid w:val="006E4E39"/>
    <w:rsid w:val="006E565E"/>
    <w:rsid w:val="006E673D"/>
    <w:rsid w:val="006E7D3B"/>
    <w:rsid w:val="006F1A0F"/>
    <w:rsid w:val="006F1B70"/>
    <w:rsid w:val="006F341D"/>
    <w:rsid w:val="006F3A1C"/>
    <w:rsid w:val="006F3CDE"/>
    <w:rsid w:val="006F464C"/>
    <w:rsid w:val="006F58D4"/>
    <w:rsid w:val="006F6582"/>
    <w:rsid w:val="0070346E"/>
    <w:rsid w:val="00704EDB"/>
    <w:rsid w:val="00706101"/>
    <w:rsid w:val="00706742"/>
    <w:rsid w:val="00707072"/>
    <w:rsid w:val="007075DD"/>
    <w:rsid w:val="00707D61"/>
    <w:rsid w:val="00711235"/>
    <w:rsid w:val="00712287"/>
    <w:rsid w:val="00712546"/>
    <w:rsid w:val="00712772"/>
    <w:rsid w:val="007148D3"/>
    <w:rsid w:val="00715B9A"/>
    <w:rsid w:val="00720C33"/>
    <w:rsid w:val="00721B32"/>
    <w:rsid w:val="007257D0"/>
    <w:rsid w:val="00725BB7"/>
    <w:rsid w:val="00726EA6"/>
    <w:rsid w:val="00727208"/>
    <w:rsid w:val="00727680"/>
    <w:rsid w:val="007348B1"/>
    <w:rsid w:val="007362A6"/>
    <w:rsid w:val="00736D7D"/>
    <w:rsid w:val="00740E58"/>
    <w:rsid w:val="007445A0"/>
    <w:rsid w:val="0074524B"/>
    <w:rsid w:val="00747D8B"/>
    <w:rsid w:val="00751228"/>
    <w:rsid w:val="00754D27"/>
    <w:rsid w:val="007571E1"/>
    <w:rsid w:val="007604B2"/>
    <w:rsid w:val="00765281"/>
    <w:rsid w:val="00766BAD"/>
    <w:rsid w:val="007729A2"/>
    <w:rsid w:val="007739A6"/>
    <w:rsid w:val="007755F2"/>
    <w:rsid w:val="00776971"/>
    <w:rsid w:val="007772A6"/>
    <w:rsid w:val="00780A80"/>
    <w:rsid w:val="0078177E"/>
    <w:rsid w:val="0078304C"/>
    <w:rsid w:val="007831C1"/>
    <w:rsid w:val="00783673"/>
    <w:rsid w:val="00785490"/>
    <w:rsid w:val="007868F6"/>
    <w:rsid w:val="007925EA"/>
    <w:rsid w:val="00793CD8"/>
    <w:rsid w:val="007955D1"/>
    <w:rsid w:val="00795A7F"/>
    <w:rsid w:val="00795C92"/>
    <w:rsid w:val="00796231"/>
    <w:rsid w:val="007A1CB3"/>
    <w:rsid w:val="007A306F"/>
    <w:rsid w:val="007A43A6"/>
    <w:rsid w:val="007A44B6"/>
    <w:rsid w:val="007A58A6"/>
    <w:rsid w:val="007A6B7C"/>
    <w:rsid w:val="007B3D2D"/>
    <w:rsid w:val="007B42C5"/>
    <w:rsid w:val="007B50AE"/>
    <w:rsid w:val="007B51DF"/>
    <w:rsid w:val="007B61E3"/>
    <w:rsid w:val="007C05DD"/>
    <w:rsid w:val="007C3D18"/>
    <w:rsid w:val="007C60BF"/>
    <w:rsid w:val="007C65E5"/>
    <w:rsid w:val="007C6A07"/>
    <w:rsid w:val="007C75A1"/>
    <w:rsid w:val="007C77A5"/>
    <w:rsid w:val="007C7FBC"/>
    <w:rsid w:val="007D04E5"/>
    <w:rsid w:val="007D4EB3"/>
    <w:rsid w:val="007D5901"/>
    <w:rsid w:val="007D7526"/>
    <w:rsid w:val="007E4610"/>
    <w:rsid w:val="007E4715"/>
    <w:rsid w:val="007E505B"/>
    <w:rsid w:val="007E636C"/>
    <w:rsid w:val="007E7091"/>
    <w:rsid w:val="007F0687"/>
    <w:rsid w:val="007F4351"/>
    <w:rsid w:val="007F69B7"/>
    <w:rsid w:val="00801782"/>
    <w:rsid w:val="00801849"/>
    <w:rsid w:val="00803FAE"/>
    <w:rsid w:val="0080536C"/>
    <w:rsid w:val="0080605F"/>
    <w:rsid w:val="00807786"/>
    <w:rsid w:val="00811FCB"/>
    <w:rsid w:val="008124E5"/>
    <w:rsid w:val="008158D6"/>
    <w:rsid w:val="00815C35"/>
    <w:rsid w:val="00817196"/>
    <w:rsid w:val="008235DB"/>
    <w:rsid w:val="008247F0"/>
    <w:rsid w:val="00824AB4"/>
    <w:rsid w:val="00825C42"/>
    <w:rsid w:val="00825D25"/>
    <w:rsid w:val="00827D6F"/>
    <w:rsid w:val="0083546B"/>
    <w:rsid w:val="0083594E"/>
    <w:rsid w:val="008376AC"/>
    <w:rsid w:val="008444E8"/>
    <w:rsid w:val="00844E80"/>
    <w:rsid w:val="00846FE7"/>
    <w:rsid w:val="008519FE"/>
    <w:rsid w:val="00852D20"/>
    <w:rsid w:val="00853B4B"/>
    <w:rsid w:val="00856911"/>
    <w:rsid w:val="008677FD"/>
    <w:rsid w:val="008706D4"/>
    <w:rsid w:val="00870F8A"/>
    <w:rsid w:val="008719A4"/>
    <w:rsid w:val="00871D23"/>
    <w:rsid w:val="00872E3B"/>
    <w:rsid w:val="00874312"/>
    <w:rsid w:val="0087437C"/>
    <w:rsid w:val="008745A3"/>
    <w:rsid w:val="00875CD7"/>
    <w:rsid w:val="00876B4D"/>
    <w:rsid w:val="00877F18"/>
    <w:rsid w:val="00880932"/>
    <w:rsid w:val="00881B38"/>
    <w:rsid w:val="00886E6B"/>
    <w:rsid w:val="00887F95"/>
    <w:rsid w:val="00892125"/>
    <w:rsid w:val="00893B06"/>
    <w:rsid w:val="008941E3"/>
    <w:rsid w:val="00894A88"/>
    <w:rsid w:val="00895386"/>
    <w:rsid w:val="00895498"/>
    <w:rsid w:val="008A21FF"/>
    <w:rsid w:val="008A2CE2"/>
    <w:rsid w:val="008A30AC"/>
    <w:rsid w:val="008A44B8"/>
    <w:rsid w:val="008A51A8"/>
    <w:rsid w:val="008A54C7"/>
    <w:rsid w:val="008A6077"/>
    <w:rsid w:val="008A77D8"/>
    <w:rsid w:val="008B0483"/>
    <w:rsid w:val="008B120C"/>
    <w:rsid w:val="008B4FD5"/>
    <w:rsid w:val="008B506A"/>
    <w:rsid w:val="008B51A0"/>
    <w:rsid w:val="008B592A"/>
    <w:rsid w:val="008B7B5C"/>
    <w:rsid w:val="008C0647"/>
    <w:rsid w:val="008C0C99"/>
    <w:rsid w:val="008C1075"/>
    <w:rsid w:val="008C180A"/>
    <w:rsid w:val="008C2017"/>
    <w:rsid w:val="008C4958"/>
    <w:rsid w:val="008C4BAA"/>
    <w:rsid w:val="008C6AE8"/>
    <w:rsid w:val="008C7573"/>
    <w:rsid w:val="008D00A5"/>
    <w:rsid w:val="008D34F1"/>
    <w:rsid w:val="008D39D8"/>
    <w:rsid w:val="008D6D1A"/>
    <w:rsid w:val="008E065E"/>
    <w:rsid w:val="008E0927"/>
    <w:rsid w:val="008E1909"/>
    <w:rsid w:val="008E6A50"/>
    <w:rsid w:val="008F1C4E"/>
    <w:rsid w:val="008F1EAB"/>
    <w:rsid w:val="008F33DC"/>
    <w:rsid w:val="008F477F"/>
    <w:rsid w:val="008F53FA"/>
    <w:rsid w:val="008F7965"/>
    <w:rsid w:val="009006BC"/>
    <w:rsid w:val="00902350"/>
    <w:rsid w:val="0090336B"/>
    <w:rsid w:val="009053AA"/>
    <w:rsid w:val="00906939"/>
    <w:rsid w:val="00906B49"/>
    <w:rsid w:val="00910B7D"/>
    <w:rsid w:val="00911DFB"/>
    <w:rsid w:val="009139D9"/>
    <w:rsid w:val="00914AD8"/>
    <w:rsid w:val="00916079"/>
    <w:rsid w:val="00916D74"/>
    <w:rsid w:val="00917CE9"/>
    <w:rsid w:val="0092075B"/>
    <w:rsid w:val="00920BF2"/>
    <w:rsid w:val="00922010"/>
    <w:rsid w:val="00922D8D"/>
    <w:rsid w:val="00931BD9"/>
    <w:rsid w:val="009368F3"/>
    <w:rsid w:val="00941636"/>
    <w:rsid w:val="00943742"/>
    <w:rsid w:val="00945C05"/>
    <w:rsid w:val="00946945"/>
    <w:rsid w:val="00947713"/>
    <w:rsid w:val="00950DE7"/>
    <w:rsid w:val="00952780"/>
    <w:rsid w:val="00953920"/>
    <w:rsid w:val="00953ADA"/>
    <w:rsid w:val="00953D47"/>
    <w:rsid w:val="00953E35"/>
    <w:rsid w:val="0095681E"/>
    <w:rsid w:val="00956EC3"/>
    <w:rsid w:val="009572D4"/>
    <w:rsid w:val="00961921"/>
    <w:rsid w:val="00963861"/>
    <w:rsid w:val="0096430A"/>
    <w:rsid w:val="0096554B"/>
    <w:rsid w:val="0096584A"/>
    <w:rsid w:val="00971F08"/>
    <w:rsid w:val="009753E6"/>
    <w:rsid w:val="0097603D"/>
    <w:rsid w:val="00976949"/>
    <w:rsid w:val="00980477"/>
    <w:rsid w:val="00984AD2"/>
    <w:rsid w:val="009850FC"/>
    <w:rsid w:val="00985253"/>
    <w:rsid w:val="009853B3"/>
    <w:rsid w:val="00990630"/>
    <w:rsid w:val="00991761"/>
    <w:rsid w:val="00993FCB"/>
    <w:rsid w:val="00994DCA"/>
    <w:rsid w:val="009960EC"/>
    <w:rsid w:val="009970DD"/>
    <w:rsid w:val="009A0B0B"/>
    <w:rsid w:val="009A0FBA"/>
    <w:rsid w:val="009A1601"/>
    <w:rsid w:val="009A3BB6"/>
    <w:rsid w:val="009A462D"/>
    <w:rsid w:val="009A5CBA"/>
    <w:rsid w:val="009A7F52"/>
    <w:rsid w:val="009B1F30"/>
    <w:rsid w:val="009B3AC2"/>
    <w:rsid w:val="009B4DF4"/>
    <w:rsid w:val="009B564E"/>
    <w:rsid w:val="009B7E87"/>
    <w:rsid w:val="009C0169"/>
    <w:rsid w:val="009C34C8"/>
    <w:rsid w:val="009C403E"/>
    <w:rsid w:val="009C6BA2"/>
    <w:rsid w:val="009C6D8E"/>
    <w:rsid w:val="009D4FF0"/>
    <w:rsid w:val="009D54EF"/>
    <w:rsid w:val="009D703C"/>
    <w:rsid w:val="009D718F"/>
    <w:rsid w:val="009E068F"/>
    <w:rsid w:val="009E14E0"/>
    <w:rsid w:val="009E35DB"/>
    <w:rsid w:val="009E47A3"/>
    <w:rsid w:val="009F08F3"/>
    <w:rsid w:val="009F0E7D"/>
    <w:rsid w:val="009F344F"/>
    <w:rsid w:val="009F44EC"/>
    <w:rsid w:val="00A00CF4"/>
    <w:rsid w:val="00A01EA8"/>
    <w:rsid w:val="00A031D8"/>
    <w:rsid w:val="00A048A8"/>
    <w:rsid w:val="00A04F49"/>
    <w:rsid w:val="00A11DA5"/>
    <w:rsid w:val="00A12487"/>
    <w:rsid w:val="00A13E54"/>
    <w:rsid w:val="00A17F63"/>
    <w:rsid w:val="00A2193B"/>
    <w:rsid w:val="00A2351A"/>
    <w:rsid w:val="00A264A9"/>
    <w:rsid w:val="00A26DCF"/>
    <w:rsid w:val="00A27785"/>
    <w:rsid w:val="00A27B63"/>
    <w:rsid w:val="00A27E0F"/>
    <w:rsid w:val="00A30187"/>
    <w:rsid w:val="00A3448A"/>
    <w:rsid w:val="00A3565A"/>
    <w:rsid w:val="00A36297"/>
    <w:rsid w:val="00A36F75"/>
    <w:rsid w:val="00A41E2B"/>
    <w:rsid w:val="00A4277D"/>
    <w:rsid w:val="00A4372D"/>
    <w:rsid w:val="00A43E75"/>
    <w:rsid w:val="00A45B74"/>
    <w:rsid w:val="00A47108"/>
    <w:rsid w:val="00A514CA"/>
    <w:rsid w:val="00A52E1D"/>
    <w:rsid w:val="00A54A4B"/>
    <w:rsid w:val="00A61499"/>
    <w:rsid w:val="00A6227F"/>
    <w:rsid w:val="00A62A77"/>
    <w:rsid w:val="00A63483"/>
    <w:rsid w:val="00A657D7"/>
    <w:rsid w:val="00A659BE"/>
    <w:rsid w:val="00A660AC"/>
    <w:rsid w:val="00A67E6C"/>
    <w:rsid w:val="00A71B99"/>
    <w:rsid w:val="00A739D0"/>
    <w:rsid w:val="00A7570F"/>
    <w:rsid w:val="00A761D4"/>
    <w:rsid w:val="00A77EC4"/>
    <w:rsid w:val="00A92879"/>
    <w:rsid w:val="00A9442A"/>
    <w:rsid w:val="00A94F6D"/>
    <w:rsid w:val="00A97DF2"/>
    <w:rsid w:val="00AA016F"/>
    <w:rsid w:val="00AA1ED6"/>
    <w:rsid w:val="00AA51D6"/>
    <w:rsid w:val="00AB0013"/>
    <w:rsid w:val="00AB0BC8"/>
    <w:rsid w:val="00AB11CA"/>
    <w:rsid w:val="00AB14D9"/>
    <w:rsid w:val="00AB242D"/>
    <w:rsid w:val="00AB488C"/>
    <w:rsid w:val="00AB4AB8"/>
    <w:rsid w:val="00AB655E"/>
    <w:rsid w:val="00AC007F"/>
    <w:rsid w:val="00AC2ECD"/>
    <w:rsid w:val="00AC3119"/>
    <w:rsid w:val="00AC49FB"/>
    <w:rsid w:val="00AC5A10"/>
    <w:rsid w:val="00AD0AA3"/>
    <w:rsid w:val="00AD2ED0"/>
    <w:rsid w:val="00AD3F94"/>
    <w:rsid w:val="00AD4A5A"/>
    <w:rsid w:val="00AD6A37"/>
    <w:rsid w:val="00AE27AC"/>
    <w:rsid w:val="00AE40E0"/>
    <w:rsid w:val="00AE4230"/>
    <w:rsid w:val="00AE4DBA"/>
    <w:rsid w:val="00AE4F07"/>
    <w:rsid w:val="00AE6102"/>
    <w:rsid w:val="00AF1C5D"/>
    <w:rsid w:val="00AF42D7"/>
    <w:rsid w:val="00AF6C25"/>
    <w:rsid w:val="00AF7852"/>
    <w:rsid w:val="00B006FE"/>
    <w:rsid w:val="00B007CB"/>
    <w:rsid w:val="00B02AA9"/>
    <w:rsid w:val="00B02FA3"/>
    <w:rsid w:val="00B05084"/>
    <w:rsid w:val="00B051DA"/>
    <w:rsid w:val="00B054C2"/>
    <w:rsid w:val="00B06036"/>
    <w:rsid w:val="00B127A3"/>
    <w:rsid w:val="00B157F9"/>
    <w:rsid w:val="00B15F81"/>
    <w:rsid w:val="00B20256"/>
    <w:rsid w:val="00B20D09"/>
    <w:rsid w:val="00B230A1"/>
    <w:rsid w:val="00B24670"/>
    <w:rsid w:val="00B2763F"/>
    <w:rsid w:val="00B27AAC"/>
    <w:rsid w:val="00B30929"/>
    <w:rsid w:val="00B372AA"/>
    <w:rsid w:val="00B37F9E"/>
    <w:rsid w:val="00B40445"/>
    <w:rsid w:val="00B409E0"/>
    <w:rsid w:val="00B41888"/>
    <w:rsid w:val="00B45A52"/>
    <w:rsid w:val="00B46175"/>
    <w:rsid w:val="00B46565"/>
    <w:rsid w:val="00B47F52"/>
    <w:rsid w:val="00B548B7"/>
    <w:rsid w:val="00B566D6"/>
    <w:rsid w:val="00B56B54"/>
    <w:rsid w:val="00B57246"/>
    <w:rsid w:val="00B621C4"/>
    <w:rsid w:val="00B6221B"/>
    <w:rsid w:val="00B65413"/>
    <w:rsid w:val="00B664C7"/>
    <w:rsid w:val="00B665F5"/>
    <w:rsid w:val="00B713D8"/>
    <w:rsid w:val="00B739F6"/>
    <w:rsid w:val="00B76171"/>
    <w:rsid w:val="00B77E4F"/>
    <w:rsid w:val="00B8197E"/>
    <w:rsid w:val="00B81A6C"/>
    <w:rsid w:val="00B85DE5"/>
    <w:rsid w:val="00B90F73"/>
    <w:rsid w:val="00B93B59"/>
    <w:rsid w:val="00B9406A"/>
    <w:rsid w:val="00BA04A6"/>
    <w:rsid w:val="00BA2280"/>
    <w:rsid w:val="00BA2A08"/>
    <w:rsid w:val="00BA3E95"/>
    <w:rsid w:val="00BA3FA7"/>
    <w:rsid w:val="00BA56D2"/>
    <w:rsid w:val="00BA76E0"/>
    <w:rsid w:val="00BB2A25"/>
    <w:rsid w:val="00BB428E"/>
    <w:rsid w:val="00BB51E9"/>
    <w:rsid w:val="00BC0AB7"/>
    <w:rsid w:val="00BC0FDC"/>
    <w:rsid w:val="00BC3053"/>
    <w:rsid w:val="00BC4D2E"/>
    <w:rsid w:val="00BD48AC"/>
    <w:rsid w:val="00BD5F1A"/>
    <w:rsid w:val="00BE03AF"/>
    <w:rsid w:val="00BE1234"/>
    <w:rsid w:val="00BE2851"/>
    <w:rsid w:val="00BE2FA6"/>
    <w:rsid w:val="00BE333F"/>
    <w:rsid w:val="00BE48D3"/>
    <w:rsid w:val="00BE7406"/>
    <w:rsid w:val="00BE7603"/>
    <w:rsid w:val="00BF3279"/>
    <w:rsid w:val="00BF35ED"/>
    <w:rsid w:val="00BF43B3"/>
    <w:rsid w:val="00BF64B6"/>
    <w:rsid w:val="00BF74C7"/>
    <w:rsid w:val="00C015F1"/>
    <w:rsid w:val="00C01F33"/>
    <w:rsid w:val="00C02CC6"/>
    <w:rsid w:val="00C03A17"/>
    <w:rsid w:val="00C040F7"/>
    <w:rsid w:val="00C044AB"/>
    <w:rsid w:val="00C05706"/>
    <w:rsid w:val="00C07377"/>
    <w:rsid w:val="00C10478"/>
    <w:rsid w:val="00C12107"/>
    <w:rsid w:val="00C1267B"/>
    <w:rsid w:val="00C13EDF"/>
    <w:rsid w:val="00C14D4B"/>
    <w:rsid w:val="00C154BB"/>
    <w:rsid w:val="00C17EE6"/>
    <w:rsid w:val="00C247CA"/>
    <w:rsid w:val="00C279B5"/>
    <w:rsid w:val="00C27C45"/>
    <w:rsid w:val="00C3295F"/>
    <w:rsid w:val="00C32EFB"/>
    <w:rsid w:val="00C3719D"/>
    <w:rsid w:val="00C37CB2"/>
    <w:rsid w:val="00C41330"/>
    <w:rsid w:val="00C473A5"/>
    <w:rsid w:val="00C4786E"/>
    <w:rsid w:val="00C53F59"/>
    <w:rsid w:val="00C54995"/>
    <w:rsid w:val="00C54BED"/>
    <w:rsid w:val="00C54D41"/>
    <w:rsid w:val="00C60783"/>
    <w:rsid w:val="00C60F80"/>
    <w:rsid w:val="00C62386"/>
    <w:rsid w:val="00C63B62"/>
    <w:rsid w:val="00C64672"/>
    <w:rsid w:val="00C67AFF"/>
    <w:rsid w:val="00C70697"/>
    <w:rsid w:val="00C72093"/>
    <w:rsid w:val="00C72EF4"/>
    <w:rsid w:val="00C744FE"/>
    <w:rsid w:val="00C7505F"/>
    <w:rsid w:val="00C75D2F"/>
    <w:rsid w:val="00C767BE"/>
    <w:rsid w:val="00C76E3C"/>
    <w:rsid w:val="00C81568"/>
    <w:rsid w:val="00C86F7D"/>
    <w:rsid w:val="00C9012D"/>
    <w:rsid w:val="00C9027A"/>
    <w:rsid w:val="00C9068E"/>
    <w:rsid w:val="00C906BB"/>
    <w:rsid w:val="00C9263D"/>
    <w:rsid w:val="00C93814"/>
    <w:rsid w:val="00C93C4B"/>
    <w:rsid w:val="00C944AB"/>
    <w:rsid w:val="00C95B40"/>
    <w:rsid w:val="00C9721F"/>
    <w:rsid w:val="00CA1ED8"/>
    <w:rsid w:val="00CB1F63"/>
    <w:rsid w:val="00CB7170"/>
    <w:rsid w:val="00CC040E"/>
    <w:rsid w:val="00CC111F"/>
    <w:rsid w:val="00CC2011"/>
    <w:rsid w:val="00CC3EA0"/>
    <w:rsid w:val="00CC5EE1"/>
    <w:rsid w:val="00CC6919"/>
    <w:rsid w:val="00CC7B45"/>
    <w:rsid w:val="00CC7EE3"/>
    <w:rsid w:val="00CD08EC"/>
    <w:rsid w:val="00CD1188"/>
    <w:rsid w:val="00CD2ED1"/>
    <w:rsid w:val="00CD337B"/>
    <w:rsid w:val="00CD4500"/>
    <w:rsid w:val="00CD6EDA"/>
    <w:rsid w:val="00CD7432"/>
    <w:rsid w:val="00CE0424"/>
    <w:rsid w:val="00CE44A3"/>
    <w:rsid w:val="00CE4FEE"/>
    <w:rsid w:val="00CE6762"/>
    <w:rsid w:val="00CE7561"/>
    <w:rsid w:val="00CF1354"/>
    <w:rsid w:val="00CF3B1F"/>
    <w:rsid w:val="00CF3BF6"/>
    <w:rsid w:val="00CF4AE9"/>
    <w:rsid w:val="00CF625B"/>
    <w:rsid w:val="00CF687E"/>
    <w:rsid w:val="00D0349B"/>
    <w:rsid w:val="00D04D9F"/>
    <w:rsid w:val="00D079BD"/>
    <w:rsid w:val="00D10249"/>
    <w:rsid w:val="00D115C3"/>
    <w:rsid w:val="00D11897"/>
    <w:rsid w:val="00D1262E"/>
    <w:rsid w:val="00D13135"/>
    <w:rsid w:val="00D13E4E"/>
    <w:rsid w:val="00D14003"/>
    <w:rsid w:val="00D173BB"/>
    <w:rsid w:val="00D239A7"/>
    <w:rsid w:val="00D23F47"/>
    <w:rsid w:val="00D23FDC"/>
    <w:rsid w:val="00D36E71"/>
    <w:rsid w:val="00D37D87"/>
    <w:rsid w:val="00D40B33"/>
    <w:rsid w:val="00D4318F"/>
    <w:rsid w:val="00D438BF"/>
    <w:rsid w:val="00D43B50"/>
    <w:rsid w:val="00D440F8"/>
    <w:rsid w:val="00D517F8"/>
    <w:rsid w:val="00D524DC"/>
    <w:rsid w:val="00D5282B"/>
    <w:rsid w:val="00D52A3F"/>
    <w:rsid w:val="00D546FF"/>
    <w:rsid w:val="00D55AD5"/>
    <w:rsid w:val="00D576CA"/>
    <w:rsid w:val="00D61AF5"/>
    <w:rsid w:val="00D647C8"/>
    <w:rsid w:val="00D652B5"/>
    <w:rsid w:val="00D66155"/>
    <w:rsid w:val="00D7017C"/>
    <w:rsid w:val="00D708B0"/>
    <w:rsid w:val="00D7112B"/>
    <w:rsid w:val="00D77B1D"/>
    <w:rsid w:val="00D8021F"/>
    <w:rsid w:val="00D80383"/>
    <w:rsid w:val="00D8093D"/>
    <w:rsid w:val="00D823C6"/>
    <w:rsid w:val="00D8327F"/>
    <w:rsid w:val="00D86CA3"/>
    <w:rsid w:val="00D871CE"/>
    <w:rsid w:val="00D9196D"/>
    <w:rsid w:val="00D92982"/>
    <w:rsid w:val="00D93663"/>
    <w:rsid w:val="00D94312"/>
    <w:rsid w:val="00D94D92"/>
    <w:rsid w:val="00D956A5"/>
    <w:rsid w:val="00DA305E"/>
    <w:rsid w:val="00DA49B3"/>
    <w:rsid w:val="00DA5417"/>
    <w:rsid w:val="00DA56E8"/>
    <w:rsid w:val="00DA5E4F"/>
    <w:rsid w:val="00DB0A9F"/>
    <w:rsid w:val="00DB2AFC"/>
    <w:rsid w:val="00DB377D"/>
    <w:rsid w:val="00DB548A"/>
    <w:rsid w:val="00DB7BA3"/>
    <w:rsid w:val="00DC2D36"/>
    <w:rsid w:val="00DC3282"/>
    <w:rsid w:val="00DC53EF"/>
    <w:rsid w:val="00DC7FD6"/>
    <w:rsid w:val="00DD0F21"/>
    <w:rsid w:val="00DD5FAF"/>
    <w:rsid w:val="00DE1AA8"/>
    <w:rsid w:val="00DE5608"/>
    <w:rsid w:val="00DE58D0"/>
    <w:rsid w:val="00DE5E3B"/>
    <w:rsid w:val="00DE654F"/>
    <w:rsid w:val="00DF0B6E"/>
    <w:rsid w:val="00DF15E0"/>
    <w:rsid w:val="00DF37A0"/>
    <w:rsid w:val="00DF7293"/>
    <w:rsid w:val="00E028D3"/>
    <w:rsid w:val="00E02DC5"/>
    <w:rsid w:val="00E07146"/>
    <w:rsid w:val="00E110E7"/>
    <w:rsid w:val="00E11B20"/>
    <w:rsid w:val="00E177CF"/>
    <w:rsid w:val="00E17FA2"/>
    <w:rsid w:val="00E21356"/>
    <w:rsid w:val="00E22330"/>
    <w:rsid w:val="00E22B42"/>
    <w:rsid w:val="00E23153"/>
    <w:rsid w:val="00E27803"/>
    <w:rsid w:val="00E279C4"/>
    <w:rsid w:val="00E30B5A"/>
    <w:rsid w:val="00E3123D"/>
    <w:rsid w:val="00E31461"/>
    <w:rsid w:val="00E31A92"/>
    <w:rsid w:val="00E31D43"/>
    <w:rsid w:val="00E32608"/>
    <w:rsid w:val="00E34188"/>
    <w:rsid w:val="00E34B6E"/>
    <w:rsid w:val="00E35559"/>
    <w:rsid w:val="00E35AE9"/>
    <w:rsid w:val="00E365AA"/>
    <w:rsid w:val="00E3723A"/>
    <w:rsid w:val="00E37860"/>
    <w:rsid w:val="00E446F1"/>
    <w:rsid w:val="00E45060"/>
    <w:rsid w:val="00E46886"/>
    <w:rsid w:val="00E47AEF"/>
    <w:rsid w:val="00E50CBE"/>
    <w:rsid w:val="00E536F8"/>
    <w:rsid w:val="00E53B75"/>
    <w:rsid w:val="00E54E3B"/>
    <w:rsid w:val="00E56CDA"/>
    <w:rsid w:val="00E57565"/>
    <w:rsid w:val="00E63838"/>
    <w:rsid w:val="00E64218"/>
    <w:rsid w:val="00E64434"/>
    <w:rsid w:val="00E67C51"/>
    <w:rsid w:val="00E72EFC"/>
    <w:rsid w:val="00E730AB"/>
    <w:rsid w:val="00E7317F"/>
    <w:rsid w:val="00E75533"/>
    <w:rsid w:val="00E758EC"/>
    <w:rsid w:val="00E8234C"/>
    <w:rsid w:val="00E83AA9"/>
    <w:rsid w:val="00E85928"/>
    <w:rsid w:val="00E87822"/>
    <w:rsid w:val="00E90395"/>
    <w:rsid w:val="00E904A1"/>
    <w:rsid w:val="00E90E49"/>
    <w:rsid w:val="00E917F9"/>
    <w:rsid w:val="00E91B0F"/>
    <w:rsid w:val="00E9291C"/>
    <w:rsid w:val="00E93FFE"/>
    <w:rsid w:val="00E94F8A"/>
    <w:rsid w:val="00EA1270"/>
    <w:rsid w:val="00EA70E3"/>
    <w:rsid w:val="00EA7A41"/>
    <w:rsid w:val="00EB077B"/>
    <w:rsid w:val="00EB3A4C"/>
    <w:rsid w:val="00EB4EA2"/>
    <w:rsid w:val="00EB506A"/>
    <w:rsid w:val="00EB6BE1"/>
    <w:rsid w:val="00EC24D5"/>
    <w:rsid w:val="00EC27C6"/>
    <w:rsid w:val="00EC4207"/>
    <w:rsid w:val="00EC5653"/>
    <w:rsid w:val="00EC71CE"/>
    <w:rsid w:val="00ED0BFE"/>
    <w:rsid w:val="00ED1006"/>
    <w:rsid w:val="00ED5155"/>
    <w:rsid w:val="00EE177D"/>
    <w:rsid w:val="00EF18FE"/>
    <w:rsid w:val="00EF5026"/>
    <w:rsid w:val="00EF5787"/>
    <w:rsid w:val="00EF60D0"/>
    <w:rsid w:val="00F0253B"/>
    <w:rsid w:val="00F04424"/>
    <w:rsid w:val="00F0528D"/>
    <w:rsid w:val="00F06C67"/>
    <w:rsid w:val="00F06DFD"/>
    <w:rsid w:val="00F071D1"/>
    <w:rsid w:val="00F07533"/>
    <w:rsid w:val="00F07C7C"/>
    <w:rsid w:val="00F10629"/>
    <w:rsid w:val="00F12972"/>
    <w:rsid w:val="00F15FA5"/>
    <w:rsid w:val="00F209B7"/>
    <w:rsid w:val="00F20CA2"/>
    <w:rsid w:val="00F2131E"/>
    <w:rsid w:val="00F221B2"/>
    <w:rsid w:val="00F2376F"/>
    <w:rsid w:val="00F243D8"/>
    <w:rsid w:val="00F30828"/>
    <w:rsid w:val="00F313D6"/>
    <w:rsid w:val="00F34480"/>
    <w:rsid w:val="00F34D45"/>
    <w:rsid w:val="00F40163"/>
    <w:rsid w:val="00F40F0C"/>
    <w:rsid w:val="00F42F09"/>
    <w:rsid w:val="00F47543"/>
    <w:rsid w:val="00F4766C"/>
    <w:rsid w:val="00F47B1A"/>
    <w:rsid w:val="00F5060E"/>
    <w:rsid w:val="00F507D1"/>
    <w:rsid w:val="00F519CE"/>
    <w:rsid w:val="00F51ADA"/>
    <w:rsid w:val="00F60203"/>
    <w:rsid w:val="00F607C5"/>
    <w:rsid w:val="00F60DEA"/>
    <w:rsid w:val="00F6302A"/>
    <w:rsid w:val="00F63950"/>
    <w:rsid w:val="00F64C2B"/>
    <w:rsid w:val="00F651BE"/>
    <w:rsid w:val="00F67F53"/>
    <w:rsid w:val="00F703BE"/>
    <w:rsid w:val="00F71330"/>
    <w:rsid w:val="00F71F69"/>
    <w:rsid w:val="00F72B72"/>
    <w:rsid w:val="00F74BB9"/>
    <w:rsid w:val="00F75582"/>
    <w:rsid w:val="00F76EFA"/>
    <w:rsid w:val="00F774E0"/>
    <w:rsid w:val="00F804BE"/>
    <w:rsid w:val="00F817CE"/>
    <w:rsid w:val="00F82C54"/>
    <w:rsid w:val="00F8451E"/>
    <w:rsid w:val="00F8456C"/>
    <w:rsid w:val="00F859D8"/>
    <w:rsid w:val="00F868F5"/>
    <w:rsid w:val="00F9056A"/>
    <w:rsid w:val="00F90F8D"/>
    <w:rsid w:val="00F91CFE"/>
    <w:rsid w:val="00F92782"/>
    <w:rsid w:val="00F92F0B"/>
    <w:rsid w:val="00F93AA9"/>
    <w:rsid w:val="00F96985"/>
    <w:rsid w:val="00F97838"/>
    <w:rsid w:val="00FA22A5"/>
    <w:rsid w:val="00FA2BB3"/>
    <w:rsid w:val="00FB15B0"/>
    <w:rsid w:val="00FB1644"/>
    <w:rsid w:val="00FB4C80"/>
    <w:rsid w:val="00FB6A6A"/>
    <w:rsid w:val="00FC2906"/>
    <w:rsid w:val="00FC5A2C"/>
    <w:rsid w:val="00FC7429"/>
    <w:rsid w:val="00FD07F6"/>
    <w:rsid w:val="00FD1EC8"/>
    <w:rsid w:val="00FD47ED"/>
    <w:rsid w:val="00FD74DB"/>
    <w:rsid w:val="00FD7660"/>
    <w:rsid w:val="00FE0655"/>
    <w:rsid w:val="00FE2365"/>
    <w:rsid w:val="00FE3131"/>
    <w:rsid w:val="00FE37D7"/>
    <w:rsid w:val="00FE4C7B"/>
    <w:rsid w:val="00FE7278"/>
    <w:rsid w:val="00FE7336"/>
    <w:rsid w:val="00FE77C1"/>
    <w:rsid w:val="00FE787C"/>
    <w:rsid w:val="00FF239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D4FF23EE-3E03-43DA-80B2-8239B05E8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locked/>
    <w:rsid w:val="00DD0F21"/>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E536F8"/>
    <w:rPr>
      <w:color w:val="808080"/>
    </w:rPr>
  </w:style>
  <w:style w:type="paragraph" w:styleId="Revision">
    <w:name w:val="Revision"/>
    <w:hidden/>
    <w:uiPriority w:val="99"/>
    <w:semiHidden/>
    <w:rsid w:val="000F69C8"/>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5.w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http://schemas.microsoft.com/sharepoint/v3"/>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2f282d3b-eb4a-4b09-b61f-b9593442e286"/>
    <ds:schemaRef ds:uri="9b239327-9e80-40e4-b1b7-4394fed77a33"/>
    <ds:schemaRef ds:uri="http://www.w3.org/XML/1998/namespace"/>
    <ds:schemaRef ds:uri="http://purl.org/dc/dcmitype/"/>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935CB4F9-C63F-46D2-9B8A-4723446BA764}"/>
</file>

<file path=customXml/itemProps4.xml><?xml version="1.0" encoding="utf-8"?>
<ds:datastoreItem xmlns:ds="http://schemas.openxmlformats.org/officeDocument/2006/customXml" ds:itemID="{21F65CAA-7DA7-4D14-A2FE-E6F9C5C48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1043</TotalTime>
  <Pages>6</Pages>
  <Words>2106</Words>
  <Characters>12110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Stephen Grant</cp:lastModifiedBy>
  <cp:revision>210</cp:revision>
  <cp:lastPrinted>2008-01-31T07:09:00Z</cp:lastPrinted>
  <dcterms:created xsi:type="dcterms:W3CDTF">2020-08-29T07:51:00Z</dcterms:created>
  <dcterms:modified xsi:type="dcterms:W3CDTF">2021-01-17T17:58:00Z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d0c27bef-1270-4ebb-bcc1-083f99414af7</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42714800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5NUHHDQN7SK2-1476151046-427148</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https://ericsson.sharepoint.com/sites/star/_layouts/15/DocIdRedir.aspx?ID=5NUHHDQN7SK2-1476151046-427148, 5NUHHDQN7SK2-1476151046-427148</vt:lpwstr>
  </property>
  <property fmtid="{D5CDD505-2E9C-101B-9397-08002B2CF9AE}" pid="22" name="_SourceUrl">
    <vt:lpwstr/>
  </property>
  <property fmtid="{D5CDD505-2E9C-101B-9397-08002B2CF9AE}" pid="23" name="_SharedFileIndex">
    <vt:lpwstr/>
  </property>
</Properties>
</file>